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518"/>
        <w:gridCol w:w="6694"/>
      </w:tblGrid>
      <w:tr w:rsidR="00BA4250" w:rsidRPr="00955122" w:rsidTr="0092603F">
        <w:trPr>
          <w:trHeight w:val="211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A4250" w:rsidRPr="00955122" w:rsidRDefault="00BA4250" w:rsidP="0092603F">
            <w:pPr>
              <w:spacing w:after="0" w:line="240" w:lineRule="auto"/>
              <w:jc w:val="center"/>
              <w:rPr>
                <w:b/>
              </w:rPr>
            </w:pPr>
            <w:r w:rsidRPr="00955122">
              <w:rPr>
                <w:color w:val="000000"/>
              </w:rPr>
              <w:br w:type="page"/>
            </w:r>
            <w:r w:rsidRPr="00955122">
              <w:rPr>
                <w:b/>
              </w:rPr>
              <w:object w:dxaOrig="4275" w:dyaOrig="3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84.75pt" o:ole="" fillcolor="window">
                  <v:imagedata r:id="rId7" o:title=""/>
                </v:shape>
                <o:OLEObject Type="Embed" ProgID="Word.Picture.8" ShapeID="_x0000_i1025" DrawAspect="Content" ObjectID="_1462780631" r:id="rId8"/>
              </w:object>
            </w:r>
          </w:p>
        </w:tc>
        <w:tc>
          <w:tcPr>
            <w:tcW w:w="6694" w:type="dxa"/>
            <w:tcBorders>
              <w:bottom w:val="single" w:sz="4" w:space="0" w:color="auto"/>
            </w:tcBorders>
            <w:vAlign w:val="center"/>
          </w:tcPr>
          <w:p w:rsidR="00BA4250" w:rsidRPr="00955122" w:rsidRDefault="00BA4250" w:rsidP="0092603F">
            <w:pPr>
              <w:spacing w:after="0" w:line="240" w:lineRule="auto"/>
              <w:jc w:val="center"/>
              <w:rPr>
                <w:b/>
              </w:rPr>
            </w:pPr>
            <w:r w:rsidRPr="00955122">
              <w:rPr>
                <w:b/>
                <w:smallCaps/>
                <w:sz w:val="44"/>
                <w:szCs w:val="30"/>
              </w:rPr>
              <w:t>Stanowisko Rządu</w:t>
            </w:r>
          </w:p>
        </w:tc>
      </w:tr>
    </w:tbl>
    <w:p w:rsidR="00BA4250" w:rsidRPr="00955122" w:rsidRDefault="00BA4250" w:rsidP="0092603F">
      <w:pPr>
        <w:spacing w:after="0" w:line="240" w:lineRule="auto"/>
        <w:jc w:val="center"/>
        <w:rPr>
          <w:b/>
        </w:rPr>
      </w:pPr>
    </w:p>
    <w:p w:rsidR="00BA4250" w:rsidRPr="00955122" w:rsidRDefault="00BA4250" w:rsidP="0092603F">
      <w:pPr>
        <w:spacing w:after="0" w:line="240" w:lineRule="auto"/>
        <w:jc w:val="center"/>
        <w:rPr>
          <w:b/>
        </w:rPr>
      </w:pPr>
    </w:p>
    <w:p w:rsidR="00BA4250" w:rsidRPr="00955122" w:rsidRDefault="00BA4250" w:rsidP="0092603F">
      <w:pPr>
        <w:numPr>
          <w:ilvl w:val="0"/>
          <w:numId w:val="3"/>
        </w:numPr>
        <w:shd w:val="clear" w:color="auto" w:fill="E6E6E6"/>
        <w:spacing w:after="0" w:line="240" w:lineRule="auto"/>
        <w:rPr>
          <w:b/>
          <w:smallCaps/>
          <w:sz w:val="28"/>
          <w:szCs w:val="28"/>
        </w:rPr>
      </w:pPr>
      <w:r w:rsidRPr="00955122">
        <w:rPr>
          <w:b/>
          <w:smallCaps/>
          <w:sz w:val="28"/>
          <w:szCs w:val="28"/>
        </w:rPr>
        <w:t>Metryka dokumentu</w:t>
      </w:r>
    </w:p>
    <w:p w:rsidR="00BA4250" w:rsidRPr="00955122" w:rsidRDefault="00BA4250" w:rsidP="0092603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A4250" w:rsidRPr="00955122" w:rsidTr="0092603F">
        <w:trPr>
          <w:trHeight w:val="395"/>
        </w:trPr>
        <w:tc>
          <w:tcPr>
            <w:tcW w:w="9212" w:type="dxa"/>
            <w:shd w:val="clear" w:color="auto" w:fill="E0E0E0"/>
            <w:vAlign w:val="center"/>
          </w:tcPr>
          <w:p w:rsidR="00BA4250" w:rsidRPr="00955122" w:rsidRDefault="00BA4250" w:rsidP="0092603F">
            <w:pPr>
              <w:spacing w:after="0" w:line="240" w:lineRule="auto"/>
              <w:jc w:val="center"/>
              <w:rPr>
                <w:b/>
              </w:rPr>
            </w:pPr>
            <w:r w:rsidRPr="00955122">
              <w:rPr>
                <w:b/>
              </w:rPr>
              <w:t xml:space="preserve">Tytuł </w:t>
            </w:r>
          </w:p>
        </w:tc>
      </w:tr>
      <w:tr w:rsidR="00BA4250" w:rsidRPr="00955122" w:rsidTr="0092603F">
        <w:trPr>
          <w:trHeight w:val="349"/>
        </w:trPr>
        <w:tc>
          <w:tcPr>
            <w:tcW w:w="9212" w:type="dxa"/>
            <w:vAlign w:val="center"/>
          </w:tcPr>
          <w:p w:rsidR="00BA4250" w:rsidRPr="00955122" w:rsidRDefault="00BA4250" w:rsidP="0092603F">
            <w:pPr>
              <w:spacing w:after="0" w:line="240" w:lineRule="auto"/>
              <w:jc w:val="center"/>
            </w:pPr>
            <w:r w:rsidRPr="00955122">
              <w:t>ZIELONA KSIĘGA w sprawie mobilnego zdrowia („m</w:t>
            </w:r>
            <w:r>
              <w:t>-zdrowia</w:t>
            </w:r>
            <w:r w:rsidRPr="00955122">
              <w:t>”)</w:t>
            </w:r>
          </w:p>
        </w:tc>
      </w:tr>
    </w:tbl>
    <w:p w:rsidR="00BA4250" w:rsidRPr="00955122" w:rsidRDefault="00BA4250" w:rsidP="0092603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68"/>
      </w:tblGrid>
      <w:tr w:rsidR="00BA4250" w:rsidRPr="00955122" w:rsidTr="0092603F">
        <w:tc>
          <w:tcPr>
            <w:tcW w:w="4644" w:type="dxa"/>
            <w:shd w:val="clear" w:color="auto" w:fill="E0E0E0"/>
            <w:vAlign w:val="center"/>
          </w:tcPr>
          <w:p w:rsidR="00BA4250" w:rsidRPr="00955122" w:rsidRDefault="00BA4250" w:rsidP="0092603F">
            <w:pPr>
              <w:spacing w:after="0" w:line="240" w:lineRule="auto"/>
              <w:jc w:val="center"/>
              <w:rPr>
                <w:b/>
              </w:rPr>
            </w:pPr>
            <w:r w:rsidRPr="00955122">
              <w:rPr>
                <w:b/>
              </w:rPr>
              <w:t>Data otrzymania dokumentu przez Parlament RP</w:t>
            </w:r>
          </w:p>
        </w:tc>
        <w:tc>
          <w:tcPr>
            <w:tcW w:w="4568" w:type="dxa"/>
            <w:shd w:val="clear" w:color="auto" w:fill="E0E0E0"/>
            <w:vAlign w:val="center"/>
          </w:tcPr>
          <w:p w:rsidR="00BA4250" w:rsidRPr="00955122" w:rsidRDefault="00BA4250" w:rsidP="0092603F">
            <w:pPr>
              <w:spacing w:after="0" w:line="240" w:lineRule="auto"/>
              <w:jc w:val="center"/>
              <w:rPr>
                <w:b/>
              </w:rPr>
            </w:pPr>
            <w:r w:rsidRPr="00955122">
              <w:rPr>
                <w:b/>
              </w:rPr>
              <w:t>Data przyjęcia stanowiska przez Komitet do Spraw Europejskich</w:t>
            </w:r>
          </w:p>
        </w:tc>
      </w:tr>
      <w:tr w:rsidR="00BA4250" w:rsidRPr="00955122" w:rsidTr="0092603F">
        <w:trPr>
          <w:trHeight w:val="393"/>
        </w:trPr>
        <w:tc>
          <w:tcPr>
            <w:tcW w:w="4644" w:type="dxa"/>
            <w:vAlign w:val="center"/>
          </w:tcPr>
          <w:p w:rsidR="00BA4250" w:rsidRPr="00955122" w:rsidRDefault="00BA4250" w:rsidP="0092603F">
            <w:pPr>
              <w:spacing w:after="0" w:line="240" w:lineRule="auto"/>
              <w:jc w:val="center"/>
            </w:pPr>
            <w:r w:rsidRPr="00955122">
              <w:t>22 kwietnia 2014 r.</w:t>
            </w:r>
          </w:p>
        </w:tc>
        <w:tc>
          <w:tcPr>
            <w:tcW w:w="4568" w:type="dxa"/>
            <w:vAlign w:val="center"/>
          </w:tcPr>
          <w:p w:rsidR="00BA4250" w:rsidRPr="00955122" w:rsidRDefault="00BA4250" w:rsidP="0092603F">
            <w:pPr>
              <w:spacing w:after="0" w:line="240" w:lineRule="auto"/>
              <w:jc w:val="center"/>
            </w:pPr>
            <w:r w:rsidRPr="00955122">
              <w:t>13 czerwca 2014 r.</w:t>
            </w:r>
          </w:p>
        </w:tc>
      </w:tr>
    </w:tbl>
    <w:p w:rsidR="00BA4250" w:rsidRPr="00955122" w:rsidRDefault="00BA4250" w:rsidP="0092603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68"/>
      </w:tblGrid>
      <w:tr w:rsidR="00BA4250" w:rsidRPr="00955122" w:rsidTr="00CD6834">
        <w:tc>
          <w:tcPr>
            <w:tcW w:w="4644" w:type="dxa"/>
            <w:shd w:val="clear" w:color="auto" w:fill="E6E6E6"/>
            <w:vAlign w:val="center"/>
          </w:tcPr>
          <w:p w:rsidR="00BA4250" w:rsidRPr="00955122" w:rsidRDefault="00BA4250" w:rsidP="00CD6834">
            <w:pPr>
              <w:spacing w:before="120" w:after="120" w:line="240" w:lineRule="auto"/>
              <w:jc w:val="center"/>
              <w:rPr>
                <w:b/>
              </w:rPr>
            </w:pPr>
            <w:r w:rsidRPr="00955122">
              <w:rPr>
                <w:b/>
              </w:rPr>
              <w:t>Sygnatura Komisji Europejskiej</w:t>
            </w:r>
          </w:p>
        </w:tc>
        <w:tc>
          <w:tcPr>
            <w:tcW w:w="4568" w:type="dxa"/>
            <w:vAlign w:val="center"/>
          </w:tcPr>
          <w:p w:rsidR="00BA4250" w:rsidRPr="00955122" w:rsidRDefault="00BA4250" w:rsidP="0092603F">
            <w:pPr>
              <w:spacing w:after="0" w:line="240" w:lineRule="auto"/>
              <w:jc w:val="center"/>
            </w:pPr>
            <w:r w:rsidRPr="00955122">
              <w:t>COM(2014) 219</w:t>
            </w:r>
          </w:p>
        </w:tc>
      </w:tr>
    </w:tbl>
    <w:p w:rsidR="00BA4250" w:rsidRPr="00955122" w:rsidRDefault="00BA4250" w:rsidP="0092603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A4250" w:rsidRPr="00955122" w:rsidTr="0092603F">
        <w:trPr>
          <w:trHeight w:val="397"/>
        </w:trPr>
        <w:tc>
          <w:tcPr>
            <w:tcW w:w="9212" w:type="dxa"/>
            <w:shd w:val="clear" w:color="auto" w:fill="E0E0E0"/>
          </w:tcPr>
          <w:p w:rsidR="00BA4250" w:rsidRPr="00955122" w:rsidRDefault="00BA4250" w:rsidP="0092603F">
            <w:pPr>
              <w:spacing w:after="0" w:line="240" w:lineRule="auto"/>
              <w:jc w:val="center"/>
              <w:rPr>
                <w:b/>
              </w:rPr>
            </w:pPr>
            <w:r w:rsidRPr="00955122">
              <w:rPr>
                <w:b/>
              </w:rPr>
              <w:t>Instytucja wiodąca</w:t>
            </w:r>
          </w:p>
        </w:tc>
      </w:tr>
      <w:tr w:rsidR="00BA4250" w:rsidRPr="00955122" w:rsidTr="0092603F">
        <w:trPr>
          <w:trHeight w:val="350"/>
        </w:trPr>
        <w:tc>
          <w:tcPr>
            <w:tcW w:w="9212" w:type="dxa"/>
          </w:tcPr>
          <w:p w:rsidR="00BA4250" w:rsidRPr="00955122" w:rsidRDefault="00BA4250" w:rsidP="0092603F">
            <w:pPr>
              <w:spacing w:after="0" w:line="240" w:lineRule="auto"/>
              <w:jc w:val="center"/>
            </w:pPr>
            <w:r w:rsidRPr="00955122">
              <w:t>Ministerstwo Zdrowia</w:t>
            </w:r>
          </w:p>
        </w:tc>
      </w:tr>
    </w:tbl>
    <w:p w:rsidR="00BA4250" w:rsidRPr="00955122" w:rsidRDefault="00BA4250" w:rsidP="0092603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A4250" w:rsidRPr="00955122" w:rsidTr="00620552">
        <w:trPr>
          <w:trHeight w:val="397"/>
        </w:trPr>
        <w:tc>
          <w:tcPr>
            <w:tcW w:w="9212" w:type="dxa"/>
            <w:shd w:val="clear" w:color="auto" w:fill="E0E0E0"/>
          </w:tcPr>
          <w:p w:rsidR="00BA4250" w:rsidRPr="00955122" w:rsidRDefault="00BA4250" w:rsidP="00620552">
            <w:pPr>
              <w:spacing w:after="0" w:line="240" w:lineRule="auto"/>
              <w:jc w:val="center"/>
              <w:rPr>
                <w:b/>
              </w:rPr>
            </w:pPr>
            <w:r w:rsidRPr="00955122">
              <w:rPr>
                <w:b/>
              </w:rPr>
              <w:t xml:space="preserve">Instytucja </w:t>
            </w:r>
            <w:r>
              <w:rPr>
                <w:b/>
              </w:rPr>
              <w:t>współpracująca</w:t>
            </w:r>
          </w:p>
        </w:tc>
      </w:tr>
      <w:tr w:rsidR="00BA4250" w:rsidRPr="00955122" w:rsidTr="00620552">
        <w:trPr>
          <w:trHeight w:val="350"/>
        </w:trPr>
        <w:tc>
          <w:tcPr>
            <w:tcW w:w="9212" w:type="dxa"/>
          </w:tcPr>
          <w:p w:rsidR="00BA4250" w:rsidRDefault="00BA4250" w:rsidP="00620552">
            <w:pPr>
              <w:spacing w:after="0" w:line="240" w:lineRule="auto"/>
              <w:jc w:val="center"/>
            </w:pPr>
            <w:r w:rsidRPr="00955122">
              <w:t xml:space="preserve">Ministerstwo </w:t>
            </w:r>
            <w:r>
              <w:t>Administracji i Cyfryzacji</w:t>
            </w:r>
          </w:p>
          <w:p w:rsidR="00BA4250" w:rsidRDefault="00BA4250" w:rsidP="00AF498F">
            <w:pPr>
              <w:spacing w:after="0" w:line="240" w:lineRule="auto"/>
              <w:jc w:val="center"/>
            </w:pPr>
            <w:r w:rsidRPr="000F06CE">
              <w:t>Generalny Inspektor Ochrony Danych Osobowych</w:t>
            </w:r>
          </w:p>
          <w:p w:rsidR="00BA4250" w:rsidRDefault="00BA4250" w:rsidP="00AF498F">
            <w:pPr>
              <w:spacing w:after="0" w:line="240" w:lineRule="auto"/>
              <w:jc w:val="center"/>
            </w:pPr>
            <w:r>
              <w:t>Urząd Rejestracji Produktów Leczniczych, Wyrobów Medycznych i Produktów Biobójczych</w:t>
            </w:r>
          </w:p>
          <w:p w:rsidR="00BA4250" w:rsidRPr="003A491C" w:rsidRDefault="00BA4250" w:rsidP="00AF498F">
            <w:pPr>
              <w:spacing w:after="0" w:line="240" w:lineRule="auto"/>
              <w:jc w:val="center"/>
            </w:pPr>
            <w:r w:rsidRPr="003A491C">
              <w:t>Urząd Komunikacji Elektronicznej</w:t>
            </w:r>
          </w:p>
        </w:tc>
      </w:tr>
    </w:tbl>
    <w:p w:rsidR="00BA4250" w:rsidRPr="00955122" w:rsidRDefault="00BA4250" w:rsidP="0092603F">
      <w:pPr>
        <w:spacing w:after="0" w:line="240" w:lineRule="auto"/>
        <w:jc w:val="center"/>
      </w:pPr>
    </w:p>
    <w:p w:rsidR="00BA4250" w:rsidRPr="00955122" w:rsidRDefault="00BA4250" w:rsidP="0092603F">
      <w:pPr>
        <w:numPr>
          <w:ilvl w:val="0"/>
          <w:numId w:val="3"/>
        </w:numPr>
        <w:shd w:val="clear" w:color="auto" w:fill="E6E6E6"/>
        <w:spacing w:after="0" w:line="240" w:lineRule="auto"/>
        <w:ind w:left="0" w:firstLine="0"/>
        <w:rPr>
          <w:b/>
          <w:smallCaps/>
          <w:sz w:val="28"/>
          <w:szCs w:val="28"/>
        </w:rPr>
      </w:pPr>
      <w:r w:rsidRPr="00955122">
        <w:rPr>
          <w:b/>
          <w:smallCaps/>
          <w:sz w:val="28"/>
          <w:szCs w:val="28"/>
        </w:rPr>
        <w:t>Cel dokumentu</w:t>
      </w:r>
    </w:p>
    <w:p w:rsidR="00BA4250" w:rsidRDefault="00BA4250" w:rsidP="006D7521">
      <w:pPr>
        <w:spacing w:after="0" w:line="240" w:lineRule="auto"/>
        <w:jc w:val="both"/>
      </w:pPr>
    </w:p>
    <w:p w:rsidR="00BA4250" w:rsidRDefault="00BA4250" w:rsidP="006D7521">
      <w:pPr>
        <w:spacing w:after="0" w:line="240" w:lineRule="auto"/>
        <w:jc w:val="both"/>
      </w:pPr>
      <w:r w:rsidRPr="007E5339">
        <w:t>Zielona Księga w sprawie m</w:t>
      </w:r>
      <w:r>
        <w:t>-</w:t>
      </w:r>
      <w:r w:rsidRPr="007E5339">
        <w:t xml:space="preserve">Zdrowia </w:t>
      </w:r>
      <w:r>
        <w:t>obszernie prezentuje nową i dynamicznie rozwijającą się dziedzinę, jaką jest zdrowie mobilne, która może istotnie wpłynąć na zmiany w systemach opieki zdrowotnej, podnosząc ich jakość i efektywność. Dokument ten daje podstawę do rozpoczęcia szerokiej dyskusji, również na poziomie politycznym, na temat potencjalnych korzyści oraz problemów i zagrożeń wynikających z coraz bardziej powszechnego wykorzystywania aplikacji</w:t>
      </w:r>
      <w:r>
        <w:br/>
        <w:t xml:space="preserve">m-Zdrowia przez użytkowników </w:t>
      </w:r>
      <w:r w:rsidRPr="005D4D45">
        <w:t>przenośnych urządzeń komunikacyjnych</w:t>
      </w:r>
      <w:r>
        <w:t>.</w:t>
      </w:r>
    </w:p>
    <w:p w:rsidR="00BA4250" w:rsidRDefault="00BA4250" w:rsidP="006D7521">
      <w:pPr>
        <w:spacing w:after="0" w:line="240" w:lineRule="auto"/>
        <w:jc w:val="both"/>
      </w:pPr>
    </w:p>
    <w:p w:rsidR="00BA4250" w:rsidRDefault="00BA4250" w:rsidP="006D7521">
      <w:pPr>
        <w:spacing w:after="0" w:line="240" w:lineRule="auto"/>
        <w:jc w:val="both"/>
      </w:pPr>
      <w:r>
        <w:t>Zagadnienie to wpisuje się w unijny plan działań w obszarze e-Z</w:t>
      </w:r>
      <w:r w:rsidRPr="0022652A">
        <w:t>drowia na lata 2012-2020</w:t>
      </w:r>
      <w:r>
        <w:t>, który wskazał zasadność w</w:t>
      </w:r>
      <w:r w:rsidRPr="00950C17">
        <w:t>yjaśnieni</w:t>
      </w:r>
      <w:r>
        <w:t>a</w:t>
      </w:r>
      <w:r w:rsidRPr="00950C17">
        <w:t xml:space="preserve"> kwestii prawnych i innego rodzaju wątpliwości</w:t>
      </w:r>
      <w:r>
        <w:t xml:space="preserve"> w odniesieniu do </w:t>
      </w:r>
      <w:r w:rsidRPr="00950C17">
        <w:t>mobilnego zdrowia oraz aplikacji dotyczących zdrowia i zdrowego stylu życia</w:t>
      </w:r>
      <w:r>
        <w:t>.</w:t>
      </w:r>
    </w:p>
    <w:p w:rsidR="00BA4250" w:rsidRDefault="00BA4250" w:rsidP="006D7521">
      <w:pPr>
        <w:spacing w:after="0" w:line="240" w:lineRule="auto"/>
        <w:jc w:val="both"/>
      </w:pPr>
    </w:p>
    <w:p w:rsidR="00BA4250" w:rsidRDefault="00BA4250" w:rsidP="006D7521">
      <w:pPr>
        <w:spacing w:after="0" w:line="240" w:lineRule="auto"/>
        <w:jc w:val="both"/>
      </w:pPr>
      <w:r>
        <w:t>Zielona Księga prezentuje szereg zagadnień związanych z rozwojem m-Zdrowia, tj.:</w:t>
      </w:r>
    </w:p>
    <w:p w:rsidR="00BA4250" w:rsidRDefault="00BA4250" w:rsidP="005608F4">
      <w:pPr>
        <w:numPr>
          <w:ilvl w:val="0"/>
          <w:numId w:val="5"/>
        </w:numPr>
        <w:spacing w:after="0" w:line="240" w:lineRule="auto"/>
        <w:jc w:val="both"/>
      </w:pPr>
      <w:r>
        <w:t>definiuje pojęcie m-Zdrowia, jego potencjał oraz korzyści dla systemów opieki zdrowotnej</w:t>
      </w:r>
      <w:r>
        <w:br/>
        <w:t>i użytkowników aplikacji zdrowia mobilnego,</w:t>
      </w:r>
    </w:p>
    <w:p w:rsidR="00BA4250" w:rsidRDefault="00BA4250" w:rsidP="00345D6A">
      <w:pPr>
        <w:numPr>
          <w:ilvl w:val="0"/>
          <w:numId w:val="5"/>
        </w:numPr>
        <w:spacing w:after="0" w:line="240" w:lineRule="auto"/>
        <w:jc w:val="both"/>
      </w:pPr>
      <w:r>
        <w:t xml:space="preserve">wskazuje problemy i zagrożenia związane ze stosowaniem narzędzi m-Zdrowia, dotyczące m.in. ochrony danych medycznych, wykorzystania dużych zbiorów danych do rozwoju </w:t>
      </w:r>
      <w:r w:rsidRPr="00DA7F6C">
        <w:t>badań naukowych i innowacji</w:t>
      </w:r>
      <w:r>
        <w:t>, zapewnienia odpowiedniej jakości i skuteczności dostępnych aplikacji m-Zdrowia, bezpiecznego korzystania z tych aplikacji przez obywateli,</w:t>
      </w:r>
    </w:p>
    <w:p w:rsidR="00BA4250" w:rsidRDefault="00BA4250" w:rsidP="0019731F">
      <w:pPr>
        <w:numPr>
          <w:ilvl w:val="0"/>
          <w:numId w:val="5"/>
        </w:numPr>
        <w:spacing w:after="0" w:line="240" w:lineRule="auto"/>
        <w:jc w:val="both"/>
      </w:pPr>
      <w:r>
        <w:t xml:space="preserve">podkreśla zasadność budowy odpowiedniego otoczenia prawnego w celu wsparcia dalszego rozwoju m-Zdrowia oraz uczestników tego rynku (m.in. </w:t>
      </w:r>
      <w:r w:rsidRPr="00A067E3">
        <w:t>producenci narzędzi</w:t>
      </w:r>
      <w:r>
        <w:t xml:space="preserve"> m-Zdrowia</w:t>
      </w:r>
      <w:r>
        <w:br/>
        <w:t>i</w:t>
      </w:r>
      <w:r w:rsidRPr="00A067E3">
        <w:t xml:space="preserve"> aplikacji</w:t>
      </w:r>
      <w:r>
        <w:t>,</w:t>
      </w:r>
      <w:r w:rsidRPr="00A067E3">
        <w:t xml:space="preserve"> pracownicy medyczni</w:t>
      </w:r>
      <w:r>
        <w:t>),</w:t>
      </w:r>
    </w:p>
    <w:p w:rsidR="00BA4250" w:rsidRDefault="00BA4250" w:rsidP="0019731F">
      <w:pPr>
        <w:numPr>
          <w:ilvl w:val="0"/>
          <w:numId w:val="5"/>
        </w:numPr>
        <w:spacing w:after="0" w:line="240" w:lineRule="auto"/>
        <w:jc w:val="both"/>
      </w:pPr>
      <w:r>
        <w:t>wskazuje zasadność prowadzenia dalszych działań wspierających rozwój badań i innowacji</w:t>
      </w:r>
      <w:r>
        <w:br/>
      </w:r>
      <w:r w:rsidRPr="00216BF9">
        <w:t xml:space="preserve">w dziedzinie </w:t>
      </w:r>
      <w:r>
        <w:t>m-Z</w:t>
      </w:r>
      <w:r w:rsidRPr="00216BF9">
        <w:t>drowia</w:t>
      </w:r>
      <w:r>
        <w:t xml:space="preserve"> oraz dostęp przedsiębiorców do rynku zdrowia mobilnego, </w:t>
      </w:r>
    </w:p>
    <w:p w:rsidR="00BA4250" w:rsidRDefault="00BA4250" w:rsidP="0019731F">
      <w:pPr>
        <w:numPr>
          <w:ilvl w:val="0"/>
          <w:numId w:val="5"/>
        </w:numPr>
        <w:spacing w:after="0" w:line="240" w:lineRule="auto"/>
        <w:jc w:val="both"/>
      </w:pPr>
      <w:r>
        <w:t xml:space="preserve">poddaje pod rozwagę kwestię potencjalnego wdrożenia w systemach opieki zdrowotnej modelu zwrotu kosztów za usługi m-Zdrowia, co istotnie wpłynęłoby na rozwój tego obszaru, </w:t>
      </w:r>
    </w:p>
    <w:p w:rsidR="00BA4250" w:rsidRDefault="00BA4250" w:rsidP="00345D6A">
      <w:pPr>
        <w:numPr>
          <w:ilvl w:val="0"/>
          <w:numId w:val="5"/>
        </w:numPr>
        <w:spacing w:after="0" w:line="240" w:lineRule="auto"/>
        <w:jc w:val="both"/>
      </w:pPr>
      <w:r>
        <w:t>zachęca do ścisłej współpracy międzynarodowej w zakresie m-Zdrowia oraz wymiany dobrych praktyk.</w:t>
      </w:r>
    </w:p>
    <w:p w:rsidR="00BA4250" w:rsidRDefault="00BA4250" w:rsidP="000C1516">
      <w:pPr>
        <w:spacing w:after="0" w:line="240" w:lineRule="auto"/>
        <w:jc w:val="both"/>
      </w:pPr>
    </w:p>
    <w:p w:rsidR="00BA4250" w:rsidRPr="007E5339" w:rsidRDefault="00BA4250" w:rsidP="006D7521">
      <w:pPr>
        <w:spacing w:after="0" w:line="240" w:lineRule="auto"/>
        <w:jc w:val="both"/>
      </w:pPr>
      <w:r>
        <w:t xml:space="preserve">Jednocześnie Komisja Europejska skierowała przedmiotową Zieloną Księgę do konsultacji publicznych. W oparciu o ten dokument oraz otrzymane odpowiedzi </w:t>
      </w:r>
      <w:r w:rsidRPr="00A2721C">
        <w:t>Komisja</w:t>
      </w:r>
      <w:r>
        <w:t xml:space="preserve"> Europejska opublikuje</w:t>
      </w:r>
      <w:r>
        <w:br/>
        <w:t>w</w:t>
      </w:r>
      <w:r w:rsidRPr="00A2721C">
        <w:t xml:space="preserve"> 2015 r.</w:t>
      </w:r>
      <w:r>
        <w:t xml:space="preserve"> </w:t>
      </w:r>
      <w:r w:rsidRPr="00A2721C">
        <w:t xml:space="preserve">propozycje kolejnych działań </w:t>
      </w:r>
      <w:r>
        <w:t>w obszarze m-Zdrowia.</w:t>
      </w:r>
    </w:p>
    <w:p w:rsidR="00BA4250" w:rsidRDefault="00BA4250" w:rsidP="0092603F">
      <w:pPr>
        <w:spacing w:after="0" w:line="240" w:lineRule="auto"/>
      </w:pPr>
    </w:p>
    <w:p w:rsidR="00BA4250" w:rsidRPr="007E5339" w:rsidRDefault="00BA4250" w:rsidP="0092603F">
      <w:pPr>
        <w:spacing w:after="0" w:line="240" w:lineRule="auto"/>
      </w:pPr>
    </w:p>
    <w:p w:rsidR="00BA4250" w:rsidRPr="00955122" w:rsidRDefault="00BA4250" w:rsidP="0092603F">
      <w:pPr>
        <w:numPr>
          <w:ilvl w:val="0"/>
          <w:numId w:val="3"/>
        </w:numPr>
        <w:shd w:val="clear" w:color="auto" w:fill="E6E6E6"/>
        <w:spacing w:after="0" w:line="240" w:lineRule="auto"/>
        <w:ind w:left="0" w:firstLine="0"/>
        <w:rPr>
          <w:b/>
          <w:smallCaps/>
          <w:sz w:val="28"/>
          <w:szCs w:val="28"/>
        </w:rPr>
      </w:pPr>
      <w:r w:rsidRPr="00955122">
        <w:rPr>
          <w:b/>
          <w:smallCaps/>
          <w:sz w:val="28"/>
          <w:szCs w:val="28"/>
        </w:rPr>
        <w:t xml:space="preserve">Dokumenty powiązane </w:t>
      </w:r>
    </w:p>
    <w:p w:rsidR="00BA4250" w:rsidRPr="00955122" w:rsidRDefault="00BA4250" w:rsidP="0092603F">
      <w:pPr>
        <w:spacing w:after="0" w:line="240" w:lineRule="auto"/>
      </w:pPr>
    </w:p>
    <w:p w:rsidR="00BA4250" w:rsidRPr="00921BD6" w:rsidRDefault="00BA4250" w:rsidP="00921BD6">
      <w:pPr>
        <w:spacing w:after="0" w:line="240" w:lineRule="auto"/>
        <w:jc w:val="both"/>
        <w:rPr>
          <w:bCs/>
        </w:rPr>
      </w:pPr>
      <w:r w:rsidRPr="00921BD6">
        <w:rPr>
          <w:bCs/>
        </w:rPr>
        <w:t>1. Dyrektywa Rady 93/42/EWG z dnia 14 czerwca 1993 r. dotycząca wyrobów medycznych</w:t>
      </w:r>
    </w:p>
    <w:p w:rsidR="00BA4250" w:rsidRPr="00921BD6" w:rsidRDefault="00BA4250" w:rsidP="00921BD6">
      <w:pPr>
        <w:spacing w:after="0" w:line="240" w:lineRule="auto"/>
        <w:jc w:val="both"/>
        <w:rPr>
          <w:bCs/>
        </w:rPr>
      </w:pPr>
    </w:p>
    <w:p w:rsidR="00BA4250" w:rsidRPr="00921BD6" w:rsidRDefault="00BA4250" w:rsidP="00921BD6">
      <w:pPr>
        <w:spacing w:after="0" w:line="240" w:lineRule="auto"/>
        <w:jc w:val="both"/>
        <w:rPr>
          <w:bCs/>
        </w:rPr>
      </w:pPr>
      <w:r w:rsidRPr="00921BD6">
        <w:rPr>
          <w:bCs/>
        </w:rPr>
        <w:t xml:space="preserve">2. Dyrektywa 98/79/WE Parlamentu Europejskiego i Rady </w:t>
      </w:r>
      <w:r w:rsidRPr="00921BD6">
        <w:t xml:space="preserve">z dnia 27 października 1998 r. </w:t>
      </w:r>
      <w:r w:rsidRPr="00921BD6">
        <w:rPr>
          <w:bCs/>
        </w:rPr>
        <w:t xml:space="preserve">w sprawie wyrobów medycznych używanych do diagnozy </w:t>
      </w:r>
      <w:r w:rsidRPr="00921BD6">
        <w:rPr>
          <w:bCs/>
          <w:i/>
        </w:rPr>
        <w:t>in vitro</w:t>
      </w:r>
    </w:p>
    <w:p w:rsidR="00BA4250" w:rsidRDefault="00BA4250" w:rsidP="00AF498F">
      <w:pPr>
        <w:spacing w:after="0" w:line="240" w:lineRule="auto"/>
        <w:jc w:val="both"/>
        <w:rPr>
          <w:bCs/>
        </w:rPr>
      </w:pPr>
    </w:p>
    <w:p w:rsidR="00BA4250" w:rsidRPr="00A350DE" w:rsidRDefault="00BA4250" w:rsidP="00AF498F">
      <w:pPr>
        <w:spacing w:after="0" w:line="240" w:lineRule="auto"/>
        <w:jc w:val="both"/>
        <w:rPr>
          <w:bCs/>
          <w:color w:val="FF0000"/>
        </w:rPr>
      </w:pPr>
      <w:r w:rsidRPr="003A491C">
        <w:rPr>
          <w:bCs/>
        </w:rPr>
        <w:t xml:space="preserve">3. Dyrektywa </w:t>
      </w:r>
      <w:hyperlink r:id="rId9" w:tgtFrame="_blank" w:tooltip="texte intégral de l'acte" w:history="1">
        <w:r w:rsidRPr="003A491C">
          <w:t>95/46/WE</w:t>
        </w:r>
      </w:hyperlink>
      <w:r w:rsidRPr="003A491C">
        <w:rPr>
          <w:bCs/>
        </w:rPr>
        <w:t xml:space="preserve"> Parlamentu Europejskiego i Rady z dnia 24 października 1995 r. w sprawie ochrony osób fizycznych w zakresie przetwarzania danych osobowych i swobodnego przepływu tych</w:t>
      </w:r>
      <w:r w:rsidRPr="00454542">
        <w:rPr>
          <w:bCs/>
        </w:rPr>
        <w:t xml:space="preserve"> danych</w:t>
      </w:r>
    </w:p>
    <w:p w:rsidR="00BA4250" w:rsidRDefault="00BA4250" w:rsidP="00AF498F">
      <w:pPr>
        <w:spacing w:after="0" w:line="240" w:lineRule="auto"/>
        <w:jc w:val="both"/>
        <w:rPr>
          <w:b/>
          <w:bCs/>
        </w:rPr>
      </w:pPr>
    </w:p>
    <w:p w:rsidR="00BA4250" w:rsidRPr="00A350DE" w:rsidRDefault="00BA4250" w:rsidP="00AF498F">
      <w:pPr>
        <w:spacing w:after="0" w:line="240" w:lineRule="auto"/>
        <w:jc w:val="both"/>
        <w:rPr>
          <w:bCs/>
          <w:color w:val="FF0000"/>
        </w:rPr>
      </w:pPr>
      <w:r w:rsidRPr="003A491C">
        <w:rPr>
          <w:bCs/>
        </w:rPr>
        <w:t xml:space="preserve">4. Dyrektywa </w:t>
      </w:r>
      <w:hyperlink r:id="rId10" w:tgtFrame="_blank" w:tooltip="2002/58/WE" w:history="1">
        <w:r w:rsidRPr="003A491C">
          <w:t>2002/58/WE</w:t>
        </w:r>
      </w:hyperlink>
      <w:r w:rsidRPr="003A491C">
        <w:rPr>
          <w:bCs/>
        </w:rPr>
        <w:t xml:space="preserve"> Parlamentu Europejskiego i Rady z dnia 12 lipca 2002 r. dotycząca</w:t>
      </w:r>
      <w:r w:rsidRPr="00454542">
        <w:rPr>
          <w:bCs/>
        </w:rPr>
        <w:t xml:space="preserve"> przetwarzania danych osobowych i ochrony prywatności w sektorze łączności elektronicznej</w:t>
      </w:r>
    </w:p>
    <w:p w:rsidR="00BA4250" w:rsidRPr="00B94393" w:rsidRDefault="00BA4250" w:rsidP="00B94393">
      <w:pPr>
        <w:spacing w:after="0" w:line="240" w:lineRule="auto"/>
        <w:jc w:val="both"/>
        <w:rPr>
          <w:bCs/>
          <w:color w:val="FF0000"/>
        </w:rPr>
      </w:pPr>
    </w:p>
    <w:p w:rsidR="00BA4250" w:rsidRPr="00454542" w:rsidRDefault="00BA4250" w:rsidP="00FF75B2">
      <w:pPr>
        <w:spacing w:after="0" w:line="240" w:lineRule="auto"/>
        <w:jc w:val="both"/>
        <w:rPr>
          <w:bCs/>
        </w:rPr>
      </w:pPr>
      <w:r>
        <w:rPr>
          <w:bCs/>
        </w:rPr>
        <w:t xml:space="preserve">5. </w:t>
      </w:r>
      <w:r w:rsidRPr="003A491C">
        <w:rPr>
          <w:bCs/>
        </w:rPr>
        <w:t>Dyrektywa 2000/31/WE Parlamentu Europejskiego i Rady z dnia 8 czerwca 2000 r. w sprawie</w:t>
      </w:r>
      <w:r w:rsidRPr="00454542">
        <w:rPr>
          <w:bCs/>
        </w:rPr>
        <w:t xml:space="preserve"> niektórych aspektów prawnych usług społeczeństwa informacyjnego, w szczególności handlu elektronicznego w ramach rynku wewnętrznego</w:t>
      </w:r>
    </w:p>
    <w:p w:rsidR="00BA4250" w:rsidRPr="00FF75B2" w:rsidRDefault="00BA4250" w:rsidP="00AF498F">
      <w:pPr>
        <w:spacing w:after="0" w:line="240" w:lineRule="auto"/>
        <w:jc w:val="both"/>
        <w:rPr>
          <w:bCs/>
          <w:color w:val="FF0000"/>
        </w:rPr>
      </w:pPr>
    </w:p>
    <w:p w:rsidR="00BA4250" w:rsidRDefault="00BA4250" w:rsidP="00AF498F">
      <w:pPr>
        <w:spacing w:after="0" w:line="240" w:lineRule="auto"/>
        <w:jc w:val="both"/>
      </w:pPr>
      <w:r>
        <w:rPr>
          <w:bCs/>
        </w:rPr>
        <w:t>6.</w:t>
      </w:r>
      <w:r w:rsidRPr="00F86515">
        <w:t xml:space="preserve"> </w:t>
      </w:r>
      <w:r>
        <w:t>Europejska Agenda Cyfrowa</w:t>
      </w:r>
    </w:p>
    <w:p w:rsidR="00BA4250" w:rsidRDefault="00BA4250" w:rsidP="00AF498F">
      <w:pPr>
        <w:spacing w:after="0" w:line="240" w:lineRule="auto"/>
        <w:jc w:val="both"/>
      </w:pPr>
    </w:p>
    <w:p w:rsidR="00BA4250" w:rsidRPr="00FC223B" w:rsidRDefault="00BA4250" w:rsidP="00AF498F">
      <w:pPr>
        <w:spacing w:after="0" w:line="240" w:lineRule="auto"/>
        <w:jc w:val="both"/>
      </w:pPr>
      <w:r>
        <w:t>7</w:t>
      </w:r>
      <w:r w:rsidRPr="00FC223B">
        <w:t>. Horyzont 2020 – Program Ramowy w zakresie badań naukowych i innowacji (2014-2020)</w:t>
      </w:r>
    </w:p>
    <w:p w:rsidR="00BA4250" w:rsidRDefault="00BA4250" w:rsidP="00AF498F">
      <w:pPr>
        <w:spacing w:after="0" w:line="240" w:lineRule="auto"/>
        <w:jc w:val="both"/>
        <w:rPr>
          <w:bCs/>
        </w:rPr>
      </w:pPr>
    </w:p>
    <w:p w:rsidR="00BA4250" w:rsidRDefault="00BA4250" w:rsidP="00AF498F">
      <w:pPr>
        <w:spacing w:after="0" w:line="240" w:lineRule="auto"/>
        <w:jc w:val="both"/>
      </w:pPr>
      <w:r>
        <w:rPr>
          <w:bCs/>
        </w:rPr>
        <w:t>8.</w:t>
      </w:r>
      <w:r w:rsidRPr="00F86515">
        <w:t xml:space="preserve"> </w:t>
      </w:r>
      <w:r>
        <w:t>Komunikat K</w:t>
      </w:r>
      <w:r w:rsidRPr="0008622F">
        <w:t xml:space="preserve">omisji do </w:t>
      </w:r>
      <w:r>
        <w:t>P</w:t>
      </w:r>
      <w:r w:rsidRPr="0008622F">
        <w:t xml:space="preserve">arlamentu </w:t>
      </w:r>
      <w:r>
        <w:t>E</w:t>
      </w:r>
      <w:r w:rsidRPr="0008622F">
        <w:t xml:space="preserve">uropejskiego i </w:t>
      </w:r>
      <w:r>
        <w:t>R</w:t>
      </w:r>
      <w:r w:rsidRPr="0008622F">
        <w:t>ady</w:t>
      </w:r>
      <w:r>
        <w:t xml:space="preserve"> pn.</w:t>
      </w:r>
      <w:r w:rsidRPr="0008622F">
        <w:t xml:space="preserve"> Działania w</w:t>
      </w:r>
      <w:r>
        <w:t xml:space="preserve"> </w:t>
      </w:r>
      <w:r w:rsidRPr="0008622F">
        <w:t>ramach Strategicznego planu realizacji Europejskiego partnerstwa na rzecz innowacji</w:t>
      </w:r>
      <w:r>
        <w:t xml:space="preserve"> </w:t>
      </w:r>
      <w:r w:rsidRPr="0008622F">
        <w:t>sprzyjającej aktywnemu starzeniu się</w:t>
      </w:r>
      <w:r>
        <w:br/>
        <w:t xml:space="preserve">w </w:t>
      </w:r>
      <w:r w:rsidRPr="0008622F">
        <w:t>dobrym zdrowiu</w:t>
      </w:r>
    </w:p>
    <w:p w:rsidR="00BA4250" w:rsidRDefault="00BA4250" w:rsidP="00AF498F">
      <w:pPr>
        <w:spacing w:after="0" w:line="240" w:lineRule="auto"/>
        <w:jc w:val="both"/>
      </w:pPr>
    </w:p>
    <w:p w:rsidR="00BA4250" w:rsidRDefault="00BA4250" w:rsidP="00AF498F">
      <w:pPr>
        <w:spacing w:after="0" w:line="240" w:lineRule="auto"/>
        <w:jc w:val="both"/>
        <w:rPr>
          <w:bCs/>
        </w:rPr>
      </w:pPr>
      <w:r>
        <w:t>9. K</w:t>
      </w:r>
      <w:r w:rsidRPr="00AF498F">
        <w:t xml:space="preserve">omunikat </w:t>
      </w:r>
      <w:r>
        <w:t>K</w:t>
      </w:r>
      <w:r w:rsidRPr="00AF498F">
        <w:t xml:space="preserve">omisji do </w:t>
      </w:r>
      <w:r>
        <w:t>P</w:t>
      </w:r>
      <w:r w:rsidRPr="00AF498F">
        <w:t xml:space="preserve">arlamentu </w:t>
      </w:r>
      <w:r>
        <w:t>E</w:t>
      </w:r>
      <w:r w:rsidRPr="00AF498F">
        <w:t xml:space="preserve">uropejskiego, </w:t>
      </w:r>
      <w:r>
        <w:t>R</w:t>
      </w:r>
      <w:r w:rsidRPr="00AF498F">
        <w:t xml:space="preserve">ady, </w:t>
      </w:r>
      <w:r>
        <w:t>E</w:t>
      </w:r>
      <w:r w:rsidRPr="00AF498F">
        <w:t xml:space="preserve">uropejskiego </w:t>
      </w:r>
      <w:r>
        <w:t>K</w:t>
      </w:r>
      <w:r w:rsidRPr="00AF498F">
        <w:t xml:space="preserve">omitetu </w:t>
      </w:r>
      <w:r>
        <w:t>E</w:t>
      </w:r>
      <w:r w:rsidRPr="00AF498F">
        <w:t>konomiczno-</w:t>
      </w:r>
      <w:r>
        <w:t>S</w:t>
      </w:r>
      <w:r w:rsidRPr="00AF498F">
        <w:t xml:space="preserve">połecznego i </w:t>
      </w:r>
      <w:r>
        <w:t>K</w:t>
      </w:r>
      <w:r w:rsidRPr="00AF498F">
        <w:t xml:space="preserve">omitetu </w:t>
      </w:r>
      <w:r>
        <w:t>R</w:t>
      </w:r>
      <w:r w:rsidRPr="00AF498F">
        <w:t>egionów</w:t>
      </w:r>
      <w:r>
        <w:t xml:space="preserve"> pn. </w:t>
      </w:r>
      <w:bookmarkStart w:id="0" w:name="_Toc342901924"/>
      <w:r>
        <w:t xml:space="preserve"> </w:t>
      </w:r>
      <w:r>
        <w:rPr>
          <w:bCs/>
        </w:rPr>
        <w:t>Plan działania w dziedzinie e-Z</w:t>
      </w:r>
      <w:r w:rsidRPr="00AF498F">
        <w:rPr>
          <w:bCs/>
        </w:rPr>
        <w:t>drowia na lata 2012-2020 – Innowacyjna opieka zdrowotna w XXI wieku</w:t>
      </w:r>
      <w:bookmarkEnd w:id="0"/>
    </w:p>
    <w:p w:rsidR="00BA4250" w:rsidRDefault="00BA4250" w:rsidP="00AF498F">
      <w:pPr>
        <w:spacing w:after="0" w:line="240" w:lineRule="auto"/>
        <w:jc w:val="both"/>
        <w:rPr>
          <w:bCs/>
        </w:rPr>
      </w:pPr>
    </w:p>
    <w:p w:rsidR="00BA4250" w:rsidRPr="00112FD3" w:rsidRDefault="00BA4250" w:rsidP="00AF498F">
      <w:pPr>
        <w:spacing w:after="0" w:line="240" w:lineRule="auto"/>
        <w:jc w:val="both"/>
        <w:rPr>
          <w:bCs/>
        </w:rPr>
      </w:pPr>
      <w:r>
        <w:rPr>
          <w:bCs/>
        </w:rPr>
        <w:t xml:space="preserve">10. </w:t>
      </w:r>
      <w:r w:rsidRPr="00112FD3">
        <w:rPr>
          <w:bCs/>
        </w:rPr>
        <w:t xml:space="preserve">Konkluzje Rady z dnia 1 grudnia 2009 r. w sprawie bezpiecznej i skutecznej opieki zdrowotnej </w:t>
      </w:r>
      <w:r>
        <w:rPr>
          <w:bCs/>
        </w:rPr>
        <w:t>dzięki e-Zdrowiu</w:t>
      </w:r>
    </w:p>
    <w:p w:rsidR="00BA4250" w:rsidRPr="00F86515" w:rsidRDefault="00BA4250" w:rsidP="00AF498F">
      <w:pPr>
        <w:spacing w:after="0" w:line="240" w:lineRule="auto"/>
        <w:jc w:val="both"/>
        <w:rPr>
          <w:bCs/>
        </w:rPr>
      </w:pPr>
    </w:p>
    <w:p w:rsidR="00BA4250" w:rsidRDefault="00BA4250" w:rsidP="00AF498F">
      <w:pPr>
        <w:spacing w:after="0" w:line="240" w:lineRule="auto"/>
        <w:jc w:val="both"/>
        <w:rPr>
          <w:bCs/>
        </w:rPr>
      </w:pPr>
      <w:r>
        <w:rPr>
          <w:bCs/>
        </w:rPr>
        <w:t>11</w:t>
      </w:r>
      <w:r w:rsidRPr="005E6D3A">
        <w:rPr>
          <w:bCs/>
        </w:rPr>
        <w:t>. Strategia Europa 2020: Strategia na rzecz inteligentnego i zrównoważonego rozwoju sprzyjającego włączeniu społecznemu</w:t>
      </w:r>
    </w:p>
    <w:p w:rsidR="00BA4250" w:rsidRDefault="00BA4250" w:rsidP="00AF498F">
      <w:pPr>
        <w:spacing w:after="0" w:line="240" w:lineRule="auto"/>
        <w:jc w:val="both"/>
        <w:rPr>
          <w:bCs/>
        </w:rPr>
      </w:pPr>
    </w:p>
    <w:p w:rsidR="00BA4250" w:rsidRDefault="00BA4250" w:rsidP="003A491C">
      <w:pPr>
        <w:spacing w:after="0" w:line="240" w:lineRule="auto"/>
        <w:jc w:val="both"/>
      </w:pPr>
      <w:r>
        <w:rPr>
          <w:bCs/>
        </w:rPr>
        <w:t xml:space="preserve">12. </w:t>
      </w:r>
      <w:r w:rsidRPr="0078412D">
        <w:t>Wniosek: rozporządzenie Parlamentu Europejskiego i Rady w sprawie ochron</w:t>
      </w:r>
      <w:r>
        <w:t>y osób fizycznych</w:t>
      </w:r>
      <w:r>
        <w:br/>
      </w:r>
      <w:r w:rsidRPr="0078412D">
        <w:t>w związku z przetwarzaniem danych osobowych i swobodnym pr</w:t>
      </w:r>
      <w:r>
        <w:t>zepływem takich danych</w:t>
      </w:r>
    </w:p>
    <w:p w:rsidR="00BA4250" w:rsidRPr="005E6D3A" w:rsidRDefault="00BA4250" w:rsidP="00AF498F">
      <w:pPr>
        <w:spacing w:after="0" w:line="240" w:lineRule="auto"/>
        <w:jc w:val="both"/>
        <w:rPr>
          <w:bCs/>
        </w:rPr>
      </w:pPr>
    </w:p>
    <w:p w:rsidR="00BA4250" w:rsidRDefault="00BA4250" w:rsidP="0092603F">
      <w:pPr>
        <w:spacing w:after="0" w:line="240" w:lineRule="auto"/>
        <w:rPr>
          <w:b/>
        </w:rPr>
      </w:pPr>
    </w:p>
    <w:p w:rsidR="00BA4250" w:rsidRPr="00955122" w:rsidRDefault="00BA4250" w:rsidP="0092603F">
      <w:pPr>
        <w:numPr>
          <w:ilvl w:val="0"/>
          <w:numId w:val="3"/>
        </w:numPr>
        <w:shd w:val="clear" w:color="auto" w:fill="E6E6E6"/>
        <w:spacing w:after="0" w:line="240" w:lineRule="auto"/>
        <w:ind w:left="0" w:firstLine="0"/>
        <w:rPr>
          <w:b/>
          <w:smallCaps/>
          <w:sz w:val="28"/>
          <w:szCs w:val="28"/>
        </w:rPr>
      </w:pPr>
      <w:r w:rsidRPr="00955122">
        <w:rPr>
          <w:b/>
          <w:smallCaps/>
          <w:sz w:val="28"/>
          <w:szCs w:val="28"/>
        </w:rPr>
        <w:t>Stanowisko Rządu</w:t>
      </w:r>
    </w:p>
    <w:p w:rsidR="00BA4250" w:rsidRDefault="00BA4250" w:rsidP="0092603F">
      <w:pPr>
        <w:spacing w:after="0" w:line="240" w:lineRule="auto"/>
        <w:rPr>
          <w:b/>
        </w:rPr>
      </w:pPr>
    </w:p>
    <w:p w:rsidR="00BA4250" w:rsidRDefault="00BA4250" w:rsidP="00CD0983">
      <w:pPr>
        <w:spacing w:after="0" w:line="240" w:lineRule="auto"/>
        <w:jc w:val="both"/>
      </w:pPr>
      <w:r w:rsidRPr="00E60DCF">
        <w:rPr>
          <w:b/>
        </w:rPr>
        <w:t xml:space="preserve">Rząd Rzeczypospolitej Polskiej </w:t>
      </w:r>
      <w:r>
        <w:rPr>
          <w:b/>
        </w:rPr>
        <w:t xml:space="preserve">z zadowoleniem przyjmuje opublikowanie Zielonej Księgi w sprawie zdrowia mobilnego. </w:t>
      </w:r>
      <w:r w:rsidRPr="00F674B6">
        <w:t>Od kilku lat ob</w:t>
      </w:r>
      <w:r>
        <w:t xml:space="preserve">serwuje się w Polsce dynamiczny </w:t>
      </w:r>
      <w:r w:rsidRPr="000F06CE">
        <w:t>wzrost liczby użytkowników innowacyjnych przenośnych urządzeń komunikacyjnych</w:t>
      </w:r>
      <w:r>
        <w:t xml:space="preserve">. </w:t>
      </w:r>
      <w:r w:rsidRPr="000F06CE">
        <w:t>Zjawisko te sprzyja rozwojowi rynku mobilnego zdrowia</w:t>
      </w:r>
      <w:r>
        <w:t>, czego efektem jest rosnąca liczba aplikacji dotyczących zdrowia, zdrowego stylu życia i samopoczucia.</w:t>
      </w:r>
      <w:r w:rsidRPr="00A03837">
        <w:rPr>
          <w:noProof/>
        </w:rPr>
        <w:t xml:space="preserve"> </w:t>
      </w:r>
      <w:r>
        <w:rPr>
          <w:noProof/>
        </w:rPr>
        <w:t>Rozpoczęcie na poziomie UE szeroko zakrojonych konsultacji na temat istniejących barier i problemów, związanych z wykorzystaniem narzędzi m-Zdrowia, jest wysoce uzasadnione.</w:t>
      </w:r>
    </w:p>
    <w:p w:rsidR="00BA4250" w:rsidRDefault="00BA4250" w:rsidP="00CD0983">
      <w:pPr>
        <w:spacing w:after="0" w:line="240" w:lineRule="auto"/>
        <w:jc w:val="both"/>
      </w:pPr>
    </w:p>
    <w:p w:rsidR="00BA4250" w:rsidRDefault="00BA4250" w:rsidP="005D716A">
      <w:pPr>
        <w:spacing w:after="0" w:line="240" w:lineRule="auto"/>
        <w:jc w:val="both"/>
      </w:pPr>
      <w:r>
        <w:t>Rząd RP dostrzega potencjał narzędzi m-Zdrowia i korzyści jakie mogą czerpać z ich stosowania systemy opieki zdrowotnej, w tym świadczeniodawcy i pacjenci. Zastosowanie w sektorze ochrony zdrowia nowoczesnych rozwiązań</w:t>
      </w:r>
      <w:r w:rsidRPr="00E60DCF">
        <w:t xml:space="preserve"> in</w:t>
      </w:r>
      <w:r>
        <w:t>formacyjno-komunikacyjnych może podnieść jego efektywność, poprawić jakość życia obywateli, jak również stanowić impuls do rozwoju innowacji na rynkach związanych z ochroną zdrowia. Jest to istotnie również w kontekście</w:t>
      </w:r>
      <w:r w:rsidRPr="00EC39A6">
        <w:t xml:space="preserve"> </w:t>
      </w:r>
      <w:r>
        <w:t>postępującego procesu starzenia się społeczeństwa i rosnącego popytu na opiekę zdrowotną przy ograniczonych możliwościach finansowych.</w:t>
      </w:r>
      <w:r w:rsidRPr="005D716A">
        <w:t xml:space="preserve"> </w:t>
      </w:r>
      <w:r w:rsidRPr="00E05865">
        <w:t>Dzięki powszech</w:t>
      </w:r>
      <w:r>
        <w:t>nemu zasięgowi sieci mobilnych oraz</w:t>
      </w:r>
      <w:r w:rsidRPr="00E05865">
        <w:t xml:space="preserve"> popularyzacji</w:t>
      </w:r>
      <w:r>
        <w:t xml:space="preserve"> </w:t>
      </w:r>
      <w:r w:rsidRPr="000F06CE">
        <w:t>przenośnych urządzeń komunikacyjnych</w:t>
      </w:r>
      <w:r>
        <w:t>, zwłaszcza</w:t>
      </w:r>
      <w:r w:rsidRPr="00E05865">
        <w:t xml:space="preserve"> smartfonów i tabletów</w:t>
      </w:r>
      <w:r>
        <w:t>,</w:t>
      </w:r>
      <w:r w:rsidRPr="00E05865">
        <w:t xml:space="preserve"> </w:t>
      </w:r>
      <w:r>
        <w:t>narzędzia m-Zdrowia mogą stać się</w:t>
      </w:r>
      <w:r>
        <w:br/>
        <w:t xml:space="preserve">w Polsce istotnym uzupełniającym elementem w procesie świadczenia opieki zdrowotnej. Mogą również wpłynąć na lepsze wykorzystanie posiadanych zasobów, np. poprzez poprawę planowania opieki, zwiększenie liczby konsultacji i interwencji medycznych wykonywanych zdalnie lub przez samych pacjentów wykorzystujących </w:t>
      </w:r>
      <w:r w:rsidRPr="00A459BF">
        <w:t>system</w:t>
      </w:r>
      <w:r>
        <w:t>y</w:t>
      </w:r>
      <w:r w:rsidRPr="00A459BF">
        <w:t xml:space="preserve"> monitorowania i raportowania</w:t>
      </w:r>
      <w:r>
        <w:t>.</w:t>
      </w:r>
    </w:p>
    <w:p w:rsidR="00BA4250" w:rsidRDefault="00BA4250" w:rsidP="005D716A">
      <w:pPr>
        <w:spacing w:after="0" w:line="240" w:lineRule="auto"/>
        <w:jc w:val="both"/>
      </w:pPr>
    </w:p>
    <w:p w:rsidR="00BA4250" w:rsidRDefault="00BA4250" w:rsidP="005D716A">
      <w:pPr>
        <w:spacing w:after="0" w:line="240" w:lineRule="auto"/>
        <w:jc w:val="both"/>
      </w:pPr>
      <w:r>
        <w:t>Rząd RP podziela pogląd, iż m-Z</w:t>
      </w:r>
      <w:r w:rsidRPr="00FA5058">
        <w:t xml:space="preserve">drowie może poprawić status pacjentów, </w:t>
      </w:r>
      <w:r>
        <w:t>którzy</w:t>
      </w:r>
      <w:r w:rsidRPr="00FA5058">
        <w:t xml:space="preserve"> dzięki</w:t>
      </w:r>
      <w:r>
        <w:t xml:space="preserve"> dostępnym rozwiązaniom</w:t>
      </w:r>
      <w:r w:rsidRPr="00FA5058">
        <w:t xml:space="preserve"> będą mogli bardziej aktywnie zarządzać swoim zdrowiem</w:t>
      </w:r>
      <w:r>
        <w:t>. Wśród rozwiązań m-Zdrowia dostępne są aplikacje mogące wpływać na poprawę zdrowia, zdrowego stylu życia oraz samopoczucia, np. aplikacje umożliwiające pomiar określonych parametrów życiowych, udzielające  wskazówek w zakresie aktywności fizycznej, kwestii żywieniowych, itd. Informacje te</w:t>
      </w:r>
      <w:r w:rsidRPr="006C4A71">
        <w:t xml:space="preserve"> </w:t>
      </w:r>
      <w:r>
        <w:t>mogą zachęcać użytkownika do prozdrowotnych zachowań i pomagać w podejmowaniu świadomych decyzji odnośnie własnego zdrowia. Większe zaangażowanie społeczeństwa w tym zakresie będzie pozytywnie wpływać na długość życia w zdrowiu, co ma istotne znaczenie w kontekście ograniczonych możliwości finansowych systemu ochrony zdrowia, jak również rozwoju gospodarczego kraju.</w:t>
      </w:r>
    </w:p>
    <w:p w:rsidR="00BA4250" w:rsidRDefault="00BA4250" w:rsidP="005D716A">
      <w:pPr>
        <w:spacing w:after="0" w:line="240" w:lineRule="auto"/>
        <w:jc w:val="both"/>
      </w:pPr>
    </w:p>
    <w:p w:rsidR="00BA4250" w:rsidRPr="000D0580" w:rsidRDefault="00BA4250" w:rsidP="000D0580">
      <w:pPr>
        <w:spacing w:after="0" w:line="240" w:lineRule="auto"/>
        <w:jc w:val="both"/>
      </w:pPr>
      <w:r w:rsidRPr="000D0580">
        <w:t xml:space="preserve">W ocenie Rządu RP, prowadząc badania kliniczne przede wszystkim należy mieć na uwadze bezpieczeństwo uczestników tych badań, jak również działania zmierzające do potwierdzenia bezpieczeństwa i skuteczności badanych produktów. Rząd RP wyraża zadowolenie z możliwości wykorzystywania nowych narzędzi, m.in. </w:t>
      </w:r>
      <w:r>
        <w:t xml:space="preserve">do </w:t>
      </w:r>
      <w:r w:rsidRPr="000D0580">
        <w:t>analizy dużych zbiorów danych</w:t>
      </w:r>
      <w:r>
        <w:t>,</w:t>
      </w:r>
      <w:r w:rsidRPr="000D0580">
        <w:t xml:space="preserve"> niemniej szybkość prowadzenia badania klinicznego nie może odbywać się kos</w:t>
      </w:r>
      <w:r>
        <w:t>ztem bezpieczeństwa uczestników</w:t>
      </w:r>
      <w:r>
        <w:br/>
      </w:r>
      <w:r w:rsidRPr="000D0580">
        <w:t>i rzetelności zbieranych danych.</w:t>
      </w:r>
    </w:p>
    <w:p w:rsidR="00BA4250" w:rsidRDefault="00BA4250" w:rsidP="005D716A">
      <w:pPr>
        <w:spacing w:after="0" w:line="240" w:lineRule="auto"/>
        <w:jc w:val="both"/>
      </w:pPr>
    </w:p>
    <w:p w:rsidR="00BA4250" w:rsidRDefault="00BA4250" w:rsidP="00C10C46">
      <w:pPr>
        <w:spacing w:after="0" w:line="240" w:lineRule="auto"/>
        <w:jc w:val="both"/>
      </w:pPr>
      <w:r w:rsidRPr="002B4625">
        <w:t>Rząd RP dostrzega wskazane przez KE bariery dla</w:t>
      </w:r>
      <w:r>
        <w:t xml:space="preserve"> rozwoju m-Zdrowia, wśród których wymienić należy przede wszystkim zagrożenia związane z przepływem informacji i ochroną danych osobowych, niedostateczne lub niejasne otoczenie prawne, jakość urządzeń i stosowanego oprogramowania oraz aplikacji m-Zdrowia. Władze</w:t>
      </w:r>
      <w:r w:rsidRPr="002B4625">
        <w:t xml:space="preserve"> RP popiera</w:t>
      </w:r>
      <w:r>
        <w:t>ją</w:t>
      </w:r>
      <w:r w:rsidRPr="002B4625">
        <w:t xml:space="preserve"> podjęcie działań m</w:t>
      </w:r>
      <w:r>
        <w:t xml:space="preserve">ających na celu eliminowanie występujących </w:t>
      </w:r>
      <w:r w:rsidRPr="002B4625">
        <w:t>ogranicze</w:t>
      </w:r>
      <w:r>
        <w:t>ń i zagrożeń</w:t>
      </w:r>
      <w:r w:rsidRPr="002B4625">
        <w:t xml:space="preserve">, ażeby móc </w:t>
      </w:r>
      <w:r>
        <w:t>bezpiecznie</w:t>
      </w:r>
      <w:r w:rsidRPr="002B4625">
        <w:t xml:space="preserve"> i skutecznie korzystać z mo</w:t>
      </w:r>
      <w:r>
        <w:t>żliwości, jakie daje m</w:t>
      </w:r>
      <w:r w:rsidRPr="002B4625">
        <w:t>-</w:t>
      </w:r>
      <w:r>
        <w:t>Z</w:t>
      </w:r>
      <w:r w:rsidRPr="002B4625">
        <w:t>drowie</w:t>
      </w:r>
      <w:r>
        <w:t>.</w:t>
      </w:r>
    </w:p>
    <w:p w:rsidR="00BA4250" w:rsidRDefault="00BA4250" w:rsidP="00C10C46">
      <w:pPr>
        <w:spacing w:after="0" w:line="240" w:lineRule="auto"/>
        <w:jc w:val="both"/>
      </w:pPr>
    </w:p>
    <w:p w:rsidR="00BA4250" w:rsidRDefault="00BA4250" w:rsidP="00C10C46">
      <w:pPr>
        <w:spacing w:after="0" w:line="240" w:lineRule="auto"/>
        <w:jc w:val="both"/>
      </w:pPr>
      <w:r>
        <w:t>Rząd RP dostrzega również potencjalne zagrożenia dla użytkowników narzędzi m-Zdrowia. Obok wskazanej wyżej kwestii ochrony danych osobowych oraz jakości urządzeń i oprogramowania, niezwykle istotne jest budowanie w społeczeństwie świadomości, iż m-Zdrowie może stanowić narzędzie wspomagające decyzje odnośnie zdrowia, a nie powinno być podstawą do podejmowania samodzielnych decyzji w zakresie sposobów i kierunków leczenia. Intencją m-Zdrowia nie jest zastąpienie pracowników medycznych, którzy nadal będą odgrywać kluczową rolę w zakresie świadczenia opieki zdrowotnej.</w:t>
      </w:r>
    </w:p>
    <w:p w:rsidR="00BA4250" w:rsidRDefault="00BA4250" w:rsidP="00C10C46">
      <w:pPr>
        <w:spacing w:after="0" w:line="240" w:lineRule="auto"/>
        <w:jc w:val="both"/>
      </w:pPr>
    </w:p>
    <w:p w:rsidR="00BA4250" w:rsidRDefault="00BA4250" w:rsidP="00C10C46">
      <w:pPr>
        <w:spacing w:after="0" w:line="240" w:lineRule="auto"/>
        <w:jc w:val="both"/>
      </w:pPr>
      <w:r>
        <w:t xml:space="preserve">Rząd RP z zadowoleniem przyjmuje zapowiedź KE prowadzenia dalszych działań wspierających </w:t>
      </w:r>
      <w:r>
        <w:rPr>
          <w:noProof/>
        </w:rPr>
        <w:t>badania i</w:t>
      </w:r>
      <w:r w:rsidRPr="00C428E8">
        <w:rPr>
          <w:noProof/>
        </w:rPr>
        <w:t xml:space="preserve"> rozw</w:t>
      </w:r>
      <w:r>
        <w:rPr>
          <w:noProof/>
        </w:rPr>
        <w:t>ój</w:t>
      </w:r>
      <w:r w:rsidRPr="00C428E8">
        <w:rPr>
          <w:noProof/>
        </w:rPr>
        <w:t xml:space="preserve"> innowacji</w:t>
      </w:r>
      <w:r>
        <w:rPr>
          <w:noProof/>
        </w:rPr>
        <w:t xml:space="preserve"> w obszarze m-Zdrowia, w ramach dostepnych unijnych programów, tj. Horyzont 2020 oraz </w:t>
      </w:r>
      <w:r w:rsidRPr="0008622F">
        <w:t>Europejskie partnerstw</w:t>
      </w:r>
      <w:r>
        <w:t>o</w:t>
      </w:r>
      <w:r w:rsidRPr="0008622F">
        <w:t xml:space="preserve"> na rzecz innowacji</w:t>
      </w:r>
      <w:r>
        <w:t xml:space="preserve"> </w:t>
      </w:r>
      <w:r w:rsidRPr="0008622F">
        <w:t>sprzyjającej aktywnemu starzeniu się</w:t>
      </w:r>
      <w:r>
        <w:br/>
        <w:t xml:space="preserve">w </w:t>
      </w:r>
      <w:r w:rsidRPr="0008622F">
        <w:t>dobrym zdrowiu</w:t>
      </w:r>
      <w:r>
        <w:t xml:space="preserve">. Pozytywnie ocenić należy również propozycje wsparcia </w:t>
      </w:r>
      <w:r w:rsidRPr="007134CC">
        <w:t xml:space="preserve">przedsiębiorców </w:t>
      </w:r>
      <w:smartTag w:uri="urn:schemas-microsoft-com:office:smarttags" w:element="PersonName">
        <w:r w:rsidRPr="007134CC">
          <w:t>internet</w:t>
        </w:r>
      </w:smartTag>
      <w:r w:rsidRPr="007134CC">
        <w:t>ow</w:t>
      </w:r>
      <w:r>
        <w:t>ych w wejściu na ten dynamicznie rozwijający się</w:t>
      </w:r>
      <w:r w:rsidRPr="007134CC">
        <w:t xml:space="preserve"> rynek</w:t>
      </w:r>
      <w:r>
        <w:t xml:space="preserve">. Ponadto, w opinii Rządu RP istotne jest uwzględnianie kierunków </w:t>
      </w:r>
      <w:r w:rsidRPr="005246B8">
        <w:rPr>
          <w:noProof/>
        </w:rPr>
        <w:t>działań mających na celu zwiększenie świadomości oraz umiejętności cyfrowych społeczeństwa</w:t>
      </w:r>
      <w:r>
        <w:rPr>
          <w:noProof/>
        </w:rPr>
        <w:t xml:space="preserve"> w zakresie m</w:t>
      </w:r>
      <w:r w:rsidRPr="005246B8">
        <w:rPr>
          <w:noProof/>
        </w:rPr>
        <w:t>-</w:t>
      </w:r>
      <w:r>
        <w:rPr>
          <w:noProof/>
        </w:rPr>
        <w:t>Z</w:t>
      </w:r>
      <w:r w:rsidRPr="005246B8">
        <w:rPr>
          <w:noProof/>
        </w:rPr>
        <w:t>drowia, co jest niezbędnym warunkiem jego pomyślnego wdrożenia</w:t>
      </w:r>
      <w:r>
        <w:rPr>
          <w:noProof/>
        </w:rPr>
        <w:t xml:space="preserve"> i dalszego rozwoju</w:t>
      </w:r>
      <w:r w:rsidRPr="005246B8">
        <w:rPr>
          <w:noProof/>
        </w:rPr>
        <w:t>.</w:t>
      </w:r>
    </w:p>
    <w:p w:rsidR="00BA4250" w:rsidRDefault="00BA4250" w:rsidP="0092603F">
      <w:pPr>
        <w:spacing w:after="0" w:line="240" w:lineRule="auto"/>
      </w:pPr>
    </w:p>
    <w:p w:rsidR="00BA4250" w:rsidRDefault="00BA4250" w:rsidP="0092603F">
      <w:pPr>
        <w:spacing w:after="0" w:line="240" w:lineRule="auto"/>
      </w:pPr>
      <w:r>
        <w:t>Jednocześnie Władze RP z zainteresowaniem będą oczekiwać propozycji dalszych działań ze strony Komisji Europejskiej, po zakończeniu procesu konsultacji Zielonej Księgi.</w:t>
      </w:r>
    </w:p>
    <w:p w:rsidR="00BA4250" w:rsidRPr="004278A2" w:rsidRDefault="00BA4250" w:rsidP="0092603F">
      <w:pPr>
        <w:spacing w:after="0" w:line="240" w:lineRule="auto"/>
      </w:pPr>
    </w:p>
    <w:p w:rsidR="00BA4250" w:rsidRPr="00955122" w:rsidRDefault="00BA4250" w:rsidP="0092603F">
      <w:pPr>
        <w:spacing w:after="0" w:line="240" w:lineRule="auto"/>
        <w:rPr>
          <w:b/>
        </w:rPr>
      </w:pPr>
    </w:p>
    <w:p w:rsidR="00BA4250" w:rsidRPr="00955122" w:rsidRDefault="00BA4250" w:rsidP="0092603F">
      <w:pPr>
        <w:numPr>
          <w:ilvl w:val="0"/>
          <w:numId w:val="3"/>
        </w:numPr>
        <w:shd w:val="clear" w:color="auto" w:fill="E6E6E6"/>
        <w:spacing w:after="0" w:line="240" w:lineRule="auto"/>
        <w:ind w:left="0" w:firstLine="0"/>
        <w:jc w:val="both"/>
        <w:rPr>
          <w:b/>
          <w:smallCaps/>
          <w:sz w:val="28"/>
          <w:szCs w:val="28"/>
        </w:rPr>
      </w:pPr>
      <w:r w:rsidRPr="00955122">
        <w:rPr>
          <w:b/>
          <w:smallCaps/>
          <w:sz w:val="28"/>
          <w:szCs w:val="28"/>
        </w:rPr>
        <w:t xml:space="preserve">Uzasadnienie stanowiska Rządu </w:t>
      </w:r>
    </w:p>
    <w:p w:rsidR="00BA4250" w:rsidRDefault="00BA4250" w:rsidP="0092603F">
      <w:pPr>
        <w:spacing w:after="0" w:line="240" w:lineRule="auto"/>
        <w:rPr>
          <w:b/>
        </w:rPr>
      </w:pPr>
    </w:p>
    <w:p w:rsidR="00BA4250" w:rsidRDefault="00BA4250" w:rsidP="003412F8">
      <w:pPr>
        <w:spacing w:after="0" w:line="240" w:lineRule="auto"/>
        <w:jc w:val="both"/>
      </w:pPr>
      <w:r>
        <w:t>Przygotowanie przez Komisję Europejską Z</w:t>
      </w:r>
      <w:r w:rsidRPr="003412F8">
        <w:t xml:space="preserve">ielonej </w:t>
      </w:r>
      <w:r>
        <w:t>K</w:t>
      </w:r>
      <w:r w:rsidRPr="003412F8">
        <w:t>sięgi</w:t>
      </w:r>
      <w:r>
        <w:t xml:space="preserve"> w sprawie mobilnego zdrowia zostało zapowiedziane</w:t>
      </w:r>
      <w:r w:rsidRPr="003412F8">
        <w:t xml:space="preserve"> </w:t>
      </w:r>
      <w:r>
        <w:t xml:space="preserve">w unijnym </w:t>
      </w:r>
      <w:r w:rsidRPr="003412F8">
        <w:t>Planie działania w dziedzinie e-zdrowia na lata 2012–2020</w:t>
      </w:r>
      <w:r>
        <w:t>. Potencjał m-Zdrowia oraz korzyści, jakie mogą czerpać systemy opieki zdrowotnej z wykorzystania narzędzi zdrowia mobilnego wskazują na zasadność dokonania szerokiej analizy tego obszaru.</w:t>
      </w:r>
    </w:p>
    <w:p w:rsidR="00BA4250" w:rsidRDefault="00BA4250" w:rsidP="003412F8">
      <w:pPr>
        <w:spacing w:after="0" w:line="240" w:lineRule="auto"/>
        <w:jc w:val="both"/>
      </w:pPr>
    </w:p>
    <w:p w:rsidR="00BA4250" w:rsidRPr="00CC1A3F" w:rsidRDefault="00BA4250" w:rsidP="003412F8">
      <w:pPr>
        <w:spacing w:after="0" w:line="240" w:lineRule="auto"/>
        <w:jc w:val="both"/>
      </w:pPr>
      <w:r>
        <w:t>Działania z zakresu informatyzacji ochrony zdrowia, prowadzone w Polsce w ostatnich latach, koncentrowały się przede wszystkim na budowie, niezbędnej z punktu widzenia systemu ochrony zdrowia, infrastruktury e-Zdrowia. Uwzględniono także zagadnienia, które wykorzystują potencjał</w:t>
      </w:r>
      <w:r>
        <w:br/>
        <w:t xml:space="preserve">m-Zdrowia, w szczególności telemedycynę. </w:t>
      </w:r>
      <w:r w:rsidRPr="00CC1A3F">
        <w:t>W ramach planowanych rozwiązań telemedycznych, zwłaszcza telemonitoringu, budowana oraz rozpowszechni</w:t>
      </w:r>
      <w:r>
        <w:t>ana będzie świadomość pacjentów</w:t>
      </w:r>
      <w:r>
        <w:br/>
      </w:r>
      <w:r w:rsidRPr="00CC1A3F">
        <w:t>w zakresie możliwości wykorzystania rozwiązań mobilnych.</w:t>
      </w:r>
      <w:r>
        <w:t xml:space="preserve"> Ponadto, rozwiązania z zakresu</w:t>
      </w:r>
      <w:r>
        <w:br/>
      </w:r>
      <w:r w:rsidRPr="00CC1A3F">
        <w:t>m-Zdrowia</w:t>
      </w:r>
      <w:r>
        <w:t>,</w:t>
      </w:r>
      <w:r w:rsidRPr="00CC1A3F">
        <w:t xml:space="preserve"> wraz z postępującym standaryzowaniem wykorzystania środków komunikacji elektronicznej</w:t>
      </w:r>
      <w:r>
        <w:t>,</w:t>
      </w:r>
      <w:r w:rsidRPr="00CC1A3F">
        <w:t xml:space="preserve"> stopniowo umożliwią prowadzenie zdalnego dostępu do elektronicznej dokumentacji medycznej. Przygotowana Zielona Księga koncentruje się przede wszystkim na zagadnieniach związanych z aplikacjami m-Zdrowia na przenośne urządzenia komunikacyjne. Rynek ten notuje od kilku lat bardzo dynamiczny rozwój, dlatego też zasadne jest jego monitorowanie. W przyszłości może wystąpić konieczność stworzenia</w:t>
      </w:r>
      <w:r>
        <w:t xml:space="preserve"> szczegółowego uregulowania prawnego.</w:t>
      </w:r>
    </w:p>
    <w:p w:rsidR="00BA4250" w:rsidRDefault="00BA4250" w:rsidP="003412F8">
      <w:pPr>
        <w:spacing w:after="0" w:line="240" w:lineRule="auto"/>
        <w:jc w:val="both"/>
      </w:pPr>
    </w:p>
    <w:p w:rsidR="00BA4250" w:rsidRDefault="00BA4250" w:rsidP="003412F8">
      <w:pPr>
        <w:spacing w:after="0" w:line="240" w:lineRule="auto"/>
        <w:jc w:val="both"/>
        <w:rPr>
          <w:noProof/>
        </w:rPr>
      </w:pPr>
      <w:r>
        <w:rPr>
          <w:bCs/>
        </w:rPr>
        <w:t>Szczególnie istotną kwestią jest zapewnienie bezpieczeństwa przepływu informacji oraz ochrony danych osobowych dotyczących zdrowia, co</w:t>
      </w:r>
      <w:r w:rsidRPr="0065265A">
        <w:t xml:space="preserve"> </w:t>
      </w:r>
      <w:r>
        <w:t xml:space="preserve">jest </w:t>
      </w:r>
      <w:r w:rsidRPr="00185122">
        <w:t>niezbędnym war</w:t>
      </w:r>
      <w:r>
        <w:t>unkiem budowania zaufania do zdrowia mobilnego.</w:t>
      </w:r>
      <w:r>
        <w:rPr>
          <w:bCs/>
        </w:rPr>
        <w:t xml:space="preserve"> N</w:t>
      </w:r>
      <w:r>
        <w:rPr>
          <w:noProof/>
        </w:rPr>
        <w:t>arzędzia i urządzenia m-Zdrowia mogą zbierać i przetwarzać duże ilości informacji, które przypadkowo lub poprzez celowe działanie osób trzecich mogą zostać ujawnione lub wyciec do nieupoważnionych podmiotów. Należy podkreślić, iż d</w:t>
      </w:r>
      <w:r w:rsidRPr="0010794F">
        <w:rPr>
          <w:noProof/>
        </w:rPr>
        <w:t xml:space="preserve">ane </w:t>
      </w:r>
      <w:r>
        <w:rPr>
          <w:noProof/>
        </w:rPr>
        <w:t xml:space="preserve">medyczne </w:t>
      </w:r>
      <w:r w:rsidRPr="0010794F">
        <w:rPr>
          <w:noProof/>
        </w:rPr>
        <w:t>są szczególnie wrażliwe i narażone na ryzyko w kontekście podstawowyc</w:t>
      </w:r>
      <w:r>
        <w:rPr>
          <w:noProof/>
        </w:rPr>
        <w:t>h praw i ochrony prywatności i</w:t>
      </w:r>
      <w:r w:rsidRPr="0010794F">
        <w:rPr>
          <w:noProof/>
        </w:rPr>
        <w:t xml:space="preserve"> zasługują na </w:t>
      </w:r>
      <w:r>
        <w:rPr>
          <w:noProof/>
        </w:rPr>
        <w:t>specjalną</w:t>
      </w:r>
      <w:r w:rsidRPr="0010794F">
        <w:rPr>
          <w:noProof/>
        </w:rPr>
        <w:t xml:space="preserve"> ochronę</w:t>
      </w:r>
      <w:r>
        <w:rPr>
          <w:bCs/>
        </w:rPr>
        <w:t xml:space="preserve">. Na forum UE trwają obecnie prace nad </w:t>
      </w:r>
      <w:r w:rsidRPr="00F11087">
        <w:rPr>
          <w:bCs/>
          <w:i/>
        </w:rPr>
        <w:t>rozporządzeniem ogólnym ws. ochrony danych osobowych</w:t>
      </w:r>
      <w:r>
        <w:rPr>
          <w:bCs/>
        </w:rPr>
        <w:t xml:space="preserve">. </w:t>
      </w:r>
      <w:r>
        <w:t>Zreformowane przepisy dotyczące ochrony danych osobowych</w:t>
      </w:r>
      <w:r w:rsidRPr="00976822">
        <w:rPr>
          <w:noProof/>
        </w:rPr>
        <w:t xml:space="preserve"> </w:t>
      </w:r>
      <w:r>
        <w:rPr>
          <w:noProof/>
        </w:rPr>
        <w:t>powinny zabezpieczać interesy osób, których dane są przetwarzane, co ma szczególne znaczenie w przypadku usług e-Zdrowia, w tym m-Zdrowia.</w:t>
      </w:r>
    </w:p>
    <w:p w:rsidR="00BA4250" w:rsidRDefault="00BA4250" w:rsidP="003412F8">
      <w:pPr>
        <w:spacing w:after="0" w:line="240" w:lineRule="auto"/>
        <w:jc w:val="both"/>
        <w:rPr>
          <w:noProof/>
        </w:rPr>
      </w:pPr>
    </w:p>
    <w:p w:rsidR="00BA4250" w:rsidRDefault="00BA4250" w:rsidP="003412F8">
      <w:pPr>
        <w:spacing w:after="0" w:line="240" w:lineRule="auto"/>
        <w:jc w:val="both"/>
        <w:rPr>
          <w:noProof/>
        </w:rPr>
      </w:pPr>
      <w:r>
        <w:rPr>
          <w:noProof/>
        </w:rPr>
        <w:t>Kolejnym zagadnieniem jest jakość przenośnych urządzeń komunikacyjnych oraz aplikacji m-Zdrowia. Różny stan techniczny tychże urządzeń jak i jakość aplikacji mogą wpływać na podawanie błędnych odczytów. Może to powodować zagrożenia dla użytkowników, zwłaszcza tych, którzy w oparciu o te informacje podejmują decyzje dotyczące zdrowia. Właściwym kierunkiem wydaje się być rozwój systemów certyfikacji, które dałyby możliwość weryfikacji aplikacji pod kątem prawidłowego działania. Zasadne jest wspieranie tego typu</w:t>
      </w:r>
      <w:r w:rsidRPr="00DE534F">
        <w:rPr>
          <w:noProof/>
        </w:rPr>
        <w:t xml:space="preserve"> </w:t>
      </w:r>
      <w:r>
        <w:rPr>
          <w:noProof/>
        </w:rPr>
        <w:t>inicjatyw, a także innych projektów, mających na celu promowanie i udostępnianie sprawdzonych pod kątem bezpieczeńśtwa aplikacji.</w:t>
      </w:r>
    </w:p>
    <w:p w:rsidR="00BA4250" w:rsidRPr="003E1D9C" w:rsidRDefault="00BA4250" w:rsidP="003E1D9C">
      <w:pPr>
        <w:spacing w:after="0" w:line="240" w:lineRule="auto"/>
        <w:jc w:val="both"/>
        <w:rPr>
          <w:noProof/>
        </w:rPr>
      </w:pPr>
    </w:p>
    <w:p w:rsidR="00BA4250" w:rsidRPr="0093006C" w:rsidRDefault="00BA4250" w:rsidP="00652FC6">
      <w:pPr>
        <w:numPr>
          <w:ilvl w:val="0"/>
          <w:numId w:val="2"/>
        </w:numPr>
        <w:spacing w:after="0" w:line="240" w:lineRule="auto"/>
        <w:rPr>
          <w:b/>
        </w:rPr>
      </w:pPr>
      <w:r w:rsidRPr="0093006C">
        <w:rPr>
          <w:b/>
        </w:rPr>
        <w:t>Ocena skutków prawnych</w:t>
      </w:r>
    </w:p>
    <w:p w:rsidR="00BA4250" w:rsidRDefault="00BA4250" w:rsidP="00CB7508">
      <w:pPr>
        <w:spacing w:after="0" w:line="240" w:lineRule="auto"/>
        <w:jc w:val="both"/>
      </w:pPr>
      <w:r w:rsidRPr="00652FC6">
        <w:t>Z</w:t>
      </w:r>
      <w:r>
        <w:t>ielona</w:t>
      </w:r>
      <w:r w:rsidRPr="00652FC6">
        <w:t xml:space="preserve"> K</w:t>
      </w:r>
      <w:r>
        <w:t>sięga</w:t>
      </w:r>
      <w:r w:rsidRPr="00652FC6">
        <w:t xml:space="preserve"> w sprawie mobilnego zdrowia</w:t>
      </w:r>
      <w:r>
        <w:t xml:space="preserve"> jest dokumentem pozalegislacyjnym i nie </w:t>
      </w:r>
      <w:r w:rsidRPr="0093006C">
        <w:t>powoduje skutków prawnych</w:t>
      </w:r>
      <w:r>
        <w:t>. Należy natomiast zauważyć, iż wśród zdefiniowanych barier dla rozwoju</w:t>
      </w:r>
      <w:r>
        <w:br/>
        <w:t>m-Zdrowia znajduje się niedostateczne uregulowanie prawne. W 2015 r., po zakończeniu procesu konsultacji tego dokumentu, KE zaprezentuje propozycje dalszych działań. Należy się spodziewać, iż będą one dotyczyły również kwestii rozwoju otoczenia prawnego dla m-Zdrowia.</w:t>
      </w:r>
    </w:p>
    <w:p w:rsidR="00BA4250" w:rsidRDefault="00BA4250" w:rsidP="0092603F">
      <w:pPr>
        <w:spacing w:after="0" w:line="240" w:lineRule="auto"/>
        <w:rPr>
          <w:b/>
        </w:rPr>
      </w:pPr>
    </w:p>
    <w:p w:rsidR="00BA4250" w:rsidRDefault="00BA4250" w:rsidP="00652FC6">
      <w:pPr>
        <w:numPr>
          <w:ilvl w:val="0"/>
          <w:numId w:val="2"/>
        </w:numPr>
        <w:spacing w:after="0" w:line="240" w:lineRule="auto"/>
        <w:rPr>
          <w:b/>
        </w:rPr>
      </w:pPr>
      <w:r w:rsidRPr="0093006C">
        <w:rPr>
          <w:b/>
        </w:rPr>
        <w:t>Ocena skutków społecznych</w:t>
      </w:r>
    </w:p>
    <w:p w:rsidR="00BA4250" w:rsidRDefault="00BA4250" w:rsidP="007E3BE3">
      <w:pPr>
        <w:spacing w:after="0" w:line="240" w:lineRule="auto"/>
        <w:jc w:val="both"/>
      </w:pPr>
      <w:r>
        <w:t>S</w:t>
      </w:r>
      <w:r w:rsidRPr="000678E5">
        <w:t>kutki społeczne</w:t>
      </w:r>
      <w:r>
        <w:t>,</w:t>
      </w:r>
      <w:r w:rsidRPr="000678E5">
        <w:t xml:space="preserve"> </w:t>
      </w:r>
      <w:r>
        <w:t xml:space="preserve">wynikające z rozwoju m-Zdrowia, będą związane z upowszechnieniem stosowania technologii ICT przez obywateli w obszarze ochrony zdrowia. Dotyczy to przede wszystkim większego wykorzystywania przenośnych urządzeń komunikacyjnych oraz aplikacji m-Zdrowia. </w:t>
      </w:r>
      <w:r w:rsidRPr="00211E35">
        <w:t xml:space="preserve">Działania zwiększające umiejętności </w:t>
      </w:r>
      <w:r>
        <w:t xml:space="preserve">społeczeństwa w zakresie stosowania </w:t>
      </w:r>
      <w:r w:rsidRPr="00211E35">
        <w:t>technologii cyfrowych będą sprzyjać uniknięciu wykluczenia cyfrowego.</w:t>
      </w:r>
    </w:p>
    <w:p w:rsidR="00BA4250" w:rsidRDefault="00BA4250" w:rsidP="0092603F">
      <w:pPr>
        <w:spacing w:after="0" w:line="240" w:lineRule="auto"/>
        <w:rPr>
          <w:b/>
        </w:rPr>
      </w:pPr>
    </w:p>
    <w:p w:rsidR="00BA4250" w:rsidRPr="0093006C" w:rsidRDefault="00BA4250" w:rsidP="00652FC6">
      <w:pPr>
        <w:numPr>
          <w:ilvl w:val="0"/>
          <w:numId w:val="2"/>
        </w:numPr>
        <w:spacing w:after="0" w:line="240" w:lineRule="auto"/>
        <w:rPr>
          <w:b/>
        </w:rPr>
      </w:pPr>
      <w:r w:rsidRPr="0093006C">
        <w:rPr>
          <w:b/>
        </w:rPr>
        <w:t>Ocena skutków gospodarczych</w:t>
      </w:r>
    </w:p>
    <w:p w:rsidR="00BA4250" w:rsidRPr="00F513B9" w:rsidRDefault="00BA4250" w:rsidP="004325EE">
      <w:pPr>
        <w:spacing w:after="0" w:line="240" w:lineRule="auto"/>
        <w:jc w:val="both"/>
      </w:pPr>
      <w:r w:rsidRPr="00B86BF9">
        <w:rPr>
          <w:bCs/>
        </w:rPr>
        <w:t>Skutki gospodarcze rozwoju m-Zdrowia będą pozytywne</w:t>
      </w:r>
      <w:r>
        <w:rPr>
          <w:bCs/>
        </w:rPr>
        <w:t>.</w:t>
      </w:r>
      <w:r w:rsidRPr="00714797">
        <w:t xml:space="preserve"> </w:t>
      </w:r>
      <w:r>
        <w:t>Zastosowanie w sektorze ochrony zdrowia nowoczesnych rozwiązań</w:t>
      </w:r>
      <w:r w:rsidRPr="00E60DCF">
        <w:t xml:space="preserve"> in</w:t>
      </w:r>
      <w:r>
        <w:t xml:space="preserve">formacyjno-komunikacyjnych wpłynie na wzrost jego efektywności, poprawę jakości życia obywateli, a także będzie wspierać dalszy rozwój innowacji na rynkach związanych z ochroną zdrowia. Dostępność narzędzi m-Zdrowia będzie zachęcać do bardziej aktywnego zarządzania swoim zdrowiem, wpływać na poprawę kondycji zdrowotnej, zdrowego stylu życia oraz samopoczucia. </w:t>
      </w:r>
      <w:r w:rsidRPr="00F513B9">
        <w:t xml:space="preserve">Dłuższe pozostawanie społeczeństwa w dobrym zdrowiu pozytywnie wpłynie na system finansów w ochronie zdrowia oraz rozwój gospodarczy kraju. </w:t>
      </w:r>
    </w:p>
    <w:p w:rsidR="00BA4250" w:rsidRPr="00C0346D" w:rsidRDefault="00BA4250" w:rsidP="00206F21">
      <w:pPr>
        <w:spacing w:after="0" w:line="240" w:lineRule="auto"/>
        <w:jc w:val="both"/>
      </w:pPr>
      <w:r w:rsidRPr="00C0346D">
        <w:t>Ponadto, rozwój m-Zdrowia spowod</w:t>
      </w:r>
      <w:r>
        <w:t>uje</w:t>
      </w:r>
      <w:r w:rsidRPr="00C0346D">
        <w:t xml:space="preserve"> rozwój innowacy</w:t>
      </w:r>
      <w:r>
        <w:t xml:space="preserve">jnych usług telekomunikacyjnych </w:t>
      </w:r>
      <w:r w:rsidRPr="00C0346D">
        <w:t>i rozwiązań technologicznych w obszarze ICT oraz zwiększenie popytu wśród konsumentów na te usługi, co pozytywnie wpłynie na budowę nowoczesnej i innowacyjnej gospodarki Polski opartej na wiedzy.</w:t>
      </w:r>
    </w:p>
    <w:p w:rsidR="00BA4250" w:rsidRPr="00C0346D" w:rsidRDefault="00BA4250" w:rsidP="00206F21">
      <w:pPr>
        <w:spacing w:after="0" w:line="240" w:lineRule="auto"/>
        <w:jc w:val="both"/>
      </w:pPr>
      <w:r w:rsidRPr="00C0346D">
        <w:t>Usługi m-Zdrowia mogą mieć szczególnie korzystny wpływ na rozwój sektora telefonii mobilnej. Wzrost ich wykorzystania może przyczynić się do wzrostu wolumenów ruchu w sieciach mobilnych,</w:t>
      </w:r>
      <w:r w:rsidRPr="00C0346D">
        <w:br/>
        <w:t>w szczególności transmisji danych oraz SMS, co może skutkować zwiększeniem przychodów operatorów telefonii mobilnej. Przy odpowiedniej skali wykorzystania tego typu usług, można oczekiwać wzrostu możliwości inwestycyjnych w sektorze telefonii mobilnej, rozwoju infrastruktury telekomunikacyjnej oraz wdrożenia rozwiązań technologicznych zapewniających szybką transmisję danych, takich jak LTE.</w:t>
      </w:r>
    </w:p>
    <w:p w:rsidR="00BA4250" w:rsidRPr="00206F21" w:rsidRDefault="00BA4250" w:rsidP="00206F21">
      <w:pPr>
        <w:spacing w:after="0" w:line="240" w:lineRule="auto"/>
        <w:jc w:val="both"/>
        <w:rPr>
          <w:sz w:val="24"/>
          <w:szCs w:val="24"/>
          <w:shd w:val="clear" w:color="auto" w:fill="FFFFFF"/>
          <w:lang w:eastAsia="pl-PL"/>
        </w:rPr>
      </w:pPr>
      <w:r>
        <w:t>D</w:t>
      </w:r>
      <w:r w:rsidRPr="00F513B9">
        <w:t>ziałania wspierające badania i rozwój w obszarze m-Zdrowia będą miały</w:t>
      </w:r>
      <w:r w:rsidRPr="00206F21">
        <w:rPr>
          <w:sz w:val="24"/>
          <w:szCs w:val="24"/>
          <w:shd w:val="clear" w:color="auto" w:fill="FFFFFF"/>
          <w:lang w:eastAsia="pl-PL"/>
        </w:rPr>
        <w:t xml:space="preserve"> pozytywny wpływ</w:t>
      </w:r>
      <w:r>
        <w:rPr>
          <w:sz w:val="24"/>
          <w:szCs w:val="24"/>
          <w:shd w:val="clear" w:color="auto" w:fill="FFFFFF"/>
          <w:lang w:eastAsia="pl-PL"/>
        </w:rPr>
        <w:t xml:space="preserve"> także</w:t>
      </w:r>
      <w:r w:rsidRPr="00206F21">
        <w:rPr>
          <w:sz w:val="24"/>
          <w:szCs w:val="24"/>
          <w:shd w:val="clear" w:color="auto" w:fill="FFFFFF"/>
          <w:lang w:eastAsia="pl-PL"/>
        </w:rPr>
        <w:t xml:space="preserve"> na szerszy i lepszy transfer wiedzy z sektora badań i nauki do otoczenia gospodarczego, podnosząc jego konkurencyjność.</w:t>
      </w:r>
    </w:p>
    <w:p w:rsidR="00BA4250" w:rsidRDefault="00BA4250" w:rsidP="0092603F">
      <w:pPr>
        <w:spacing w:after="0" w:line="240" w:lineRule="auto"/>
        <w:rPr>
          <w:b/>
        </w:rPr>
      </w:pPr>
    </w:p>
    <w:p w:rsidR="00BA4250" w:rsidRDefault="00BA4250" w:rsidP="00652FC6">
      <w:pPr>
        <w:numPr>
          <w:ilvl w:val="0"/>
          <w:numId w:val="2"/>
        </w:numPr>
        <w:spacing w:after="0" w:line="240" w:lineRule="auto"/>
        <w:rPr>
          <w:b/>
        </w:rPr>
      </w:pPr>
      <w:r w:rsidRPr="0093006C">
        <w:rPr>
          <w:b/>
        </w:rPr>
        <w:t>Ocena skutków finansowych</w:t>
      </w:r>
    </w:p>
    <w:p w:rsidR="00BA4250" w:rsidRPr="001802E1" w:rsidRDefault="00BA4250" w:rsidP="0092603F">
      <w:pPr>
        <w:spacing w:after="0" w:line="240" w:lineRule="auto"/>
      </w:pPr>
      <w:r>
        <w:t>Opublikowanie d</w:t>
      </w:r>
      <w:r w:rsidRPr="001802E1">
        <w:t>okument</w:t>
      </w:r>
      <w:r>
        <w:t>u</w:t>
      </w:r>
      <w:r w:rsidRPr="001802E1">
        <w:t xml:space="preserve"> nie powoduje skutków finansowych.</w:t>
      </w:r>
    </w:p>
    <w:p w:rsidR="00BA4250" w:rsidRDefault="00BA4250" w:rsidP="0092603F">
      <w:pPr>
        <w:spacing w:after="0" w:line="240" w:lineRule="auto"/>
        <w:rPr>
          <w:b/>
        </w:rPr>
      </w:pPr>
    </w:p>
    <w:p w:rsidR="00BA4250" w:rsidRPr="00955122" w:rsidRDefault="00BA4250" w:rsidP="0092603F">
      <w:pPr>
        <w:spacing w:after="0" w:line="240" w:lineRule="auto"/>
        <w:rPr>
          <w:b/>
        </w:rPr>
      </w:pPr>
    </w:p>
    <w:p w:rsidR="00BA4250" w:rsidRPr="00955122" w:rsidRDefault="00BA4250" w:rsidP="0092603F">
      <w:pPr>
        <w:numPr>
          <w:ilvl w:val="0"/>
          <w:numId w:val="3"/>
        </w:numPr>
        <w:shd w:val="clear" w:color="auto" w:fill="E6E6E6"/>
        <w:spacing w:after="0" w:line="240" w:lineRule="auto"/>
        <w:ind w:left="0" w:firstLine="0"/>
        <w:rPr>
          <w:b/>
          <w:smallCaps/>
          <w:sz w:val="28"/>
          <w:szCs w:val="28"/>
        </w:rPr>
      </w:pPr>
      <w:r w:rsidRPr="00955122">
        <w:rPr>
          <w:b/>
          <w:smallCaps/>
          <w:sz w:val="28"/>
          <w:szCs w:val="28"/>
        </w:rPr>
        <w:t>Stanowisko partnerów społecznych</w:t>
      </w:r>
    </w:p>
    <w:p w:rsidR="00BA4250" w:rsidRPr="00256A91" w:rsidRDefault="00BA4250" w:rsidP="0092603F">
      <w:pPr>
        <w:spacing w:after="0" w:line="240" w:lineRule="auto"/>
      </w:pPr>
    </w:p>
    <w:p w:rsidR="00BA4250" w:rsidRPr="00256A91" w:rsidRDefault="00BA4250" w:rsidP="0092603F">
      <w:pPr>
        <w:spacing w:after="0" w:line="240" w:lineRule="auto"/>
      </w:pPr>
      <w:r w:rsidRPr="00256A91">
        <w:t>...</w:t>
      </w:r>
    </w:p>
    <w:p w:rsidR="00BA4250" w:rsidRPr="00256A91" w:rsidRDefault="00BA4250" w:rsidP="0092603F">
      <w:pPr>
        <w:spacing w:after="0" w:line="240" w:lineRule="auto"/>
      </w:pPr>
    </w:p>
    <w:p w:rsidR="00BA4250" w:rsidRPr="00955122" w:rsidRDefault="00BA4250" w:rsidP="0092603F">
      <w:pPr>
        <w:numPr>
          <w:ilvl w:val="0"/>
          <w:numId w:val="3"/>
        </w:numPr>
        <w:shd w:val="clear" w:color="auto" w:fill="E6E6E6"/>
        <w:spacing w:after="0" w:line="240" w:lineRule="auto"/>
        <w:ind w:left="0" w:firstLine="0"/>
        <w:rPr>
          <w:b/>
          <w:smallCaps/>
          <w:sz w:val="28"/>
          <w:szCs w:val="28"/>
        </w:rPr>
      </w:pPr>
      <w:r w:rsidRPr="00955122">
        <w:rPr>
          <w:b/>
          <w:smallCaps/>
          <w:sz w:val="28"/>
          <w:szCs w:val="28"/>
        </w:rPr>
        <w:t xml:space="preserve">Wnioski </w:t>
      </w:r>
    </w:p>
    <w:p w:rsidR="00BA4250" w:rsidRDefault="00BA4250" w:rsidP="00CB7508">
      <w:pPr>
        <w:spacing w:after="0" w:line="240" w:lineRule="auto"/>
        <w:rPr>
          <w:sz w:val="24"/>
          <w:szCs w:val="24"/>
        </w:rPr>
      </w:pPr>
    </w:p>
    <w:p w:rsidR="00BA4250" w:rsidRDefault="00BA4250" w:rsidP="006017CE">
      <w:pPr>
        <w:spacing w:after="0" w:line="240" w:lineRule="auto"/>
        <w:jc w:val="both"/>
        <w:rPr>
          <w:sz w:val="24"/>
          <w:szCs w:val="24"/>
        </w:rPr>
      </w:pPr>
      <w:r>
        <w:rPr>
          <w:bCs/>
        </w:rPr>
        <w:t>Analizując</w:t>
      </w:r>
      <w:r w:rsidRPr="008729B4">
        <w:rPr>
          <w:bCs/>
        </w:rPr>
        <w:t xml:space="preserve"> zmiany zachodz</w:t>
      </w:r>
      <w:r>
        <w:rPr>
          <w:bCs/>
        </w:rPr>
        <w:t>ące w systemach opieki zdrowotne</w:t>
      </w:r>
      <w:r w:rsidRPr="008729B4">
        <w:rPr>
          <w:bCs/>
        </w:rPr>
        <w:t>j</w:t>
      </w:r>
      <w:r>
        <w:rPr>
          <w:bCs/>
        </w:rPr>
        <w:t xml:space="preserve"> obserwuje się </w:t>
      </w:r>
      <w:r w:rsidRPr="008729B4">
        <w:rPr>
          <w:bCs/>
        </w:rPr>
        <w:t xml:space="preserve">stale rosnące znaczenie </w:t>
      </w:r>
      <w:r>
        <w:rPr>
          <w:bCs/>
        </w:rPr>
        <w:t>nowoczesnych rozwiązań innowacyjno-komunikacyjnych, które stały się integralną</w:t>
      </w:r>
      <w:r w:rsidRPr="008729B4">
        <w:rPr>
          <w:bCs/>
        </w:rPr>
        <w:t xml:space="preserve"> </w:t>
      </w:r>
      <w:r>
        <w:rPr>
          <w:bCs/>
        </w:rPr>
        <w:t>częścią</w:t>
      </w:r>
      <w:r w:rsidRPr="008729B4">
        <w:rPr>
          <w:bCs/>
        </w:rPr>
        <w:t xml:space="preserve"> wszystkich inicjatyw w sektorze </w:t>
      </w:r>
      <w:r>
        <w:rPr>
          <w:bCs/>
        </w:rPr>
        <w:t xml:space="preserve">ochrony </w:t>
      </w:r>
      <w:r w:rsidRPr="008729B4">
        <w:rPr>
          <w:bCs/>
        </w:rPr>
        <w:t>zdrowia</w:t>
      </w:r>
      <w:r>
        <w:rPr>
          <w:bCs/>
        </w:rPr>
        <w:t xml:space="preserve">. Narzędzia m-Zdrowia, dzięki dobrze rozwiniętym sieciom mobilnym, mogą stać się w Polsce </w:t>
      </w:r>
      <w:r>
        <w:t xml:space="preserve">istotnym uzupełniającym elementem w procesie świadczenia opieki zdrowotnej. Dotyczy to większego zaangażowania pacjentów w zarządzanie swoim zdrowiem jak również lepszego wykorzystania zasobów ochrony zdrowia. </w:t>
      </w:r>
      <w:r w:rsidRPr="00AC7630">
        <w:rPr>
          <w:sz w:val="24"/>
          <w:szCs w:val="24"/>
        </w:rPr>
        <w:t>Mimo</w:t>
      </w:r>
      <w:r>
        <w:rPr>
          <w:sz w:val="24"/>
          <w:szCs w:val="24"/>
        </w:rPr>
        <w:t>, iż</w:t>
      </w:r>
      <w:r w:rsidRPr="00AC7630">
        <w:rPr>
          <w:sz w:val="24"/>
          <w:szCs w:val="24"/>
        </w:rPr>
        <w:t xml:space="preserve"> aplikacje</w:t>
      </w:r>
      <w:r>
        <w:rPr>
          <w:sz w:val="24"/>
          <w:szCs w:val="24"/>
        </w:rPr>
        <w:t xml:space="preserve"> m-Zdrowia </w:t>
      </w:r>
      <w:r w:rsidRPr="00AC7630">
        <w:rPr>
          <w:sz w:val="24"/>
          <w:szCs w:val="24"/>
        </w:rPr>
        <w:t>cieszą się zainteresowaniem i budzą entuzjazm użyt</w:t>
      </w:r>
      <w:r>
        <w:rPr>
          <w:sz w:val="24"/>
          <w:szCs w:val="24"/>
        </w:rPr>
        <w:t xml:space="preserve">kowników, nie weszły jeszcze do </w:t>
      </w:r>
      <w:r w:rsidRPr="00AC7630">
        <w:rPr>
          <w:sz w:val="24"/>
          <w:szCs w:val="24"/>
        </w:rPr>
        <w:t xml:space="preserve">głównego nurtu opieki zdrowotnej i </w:t>
      </w:r>
      <w:r>
        <w:rPr>
          <w:sz w:val="24"/>
          <w:szCs w:val="24"/>
        </w:rPr>
        <w:t xml:space="preserve">w </w:t>
      </w:r>
      <w:r w:rsidRPr="00AC7630">
        <w:rPr>
          <w:sz w:val="24"/>
          <w:szCs w:val="24"/>
        </w:rPr>
        <w:t>wielu przypadkach są ciągle postrzegane jako nowość.</w:t>
      </w:r>
      <w:r>
        <w:rPr>
          <w:sz w:val="24"/>
          <w:szCs w:val="24"/>
        </w:rPr>
        <w:t xml:space="preserve"> Niemniej postępujący rozwój społeczeństwa informacyjnego i umiejętności cyfrowych dają podstawę twierdzić, iż obszar m-Zdrowia będzie się dalej dynamicznie rozwijać, a wraz z tym jego znaczenie w ochronie zdrowia. W celu optymalizacji korzyści oraz eliminowania barier</w:t>
      </w:r>
      <w:r>
        <w:rPr>
          <w:sz w:val="24"/>
          <w:szCs w:val="24"/>
        </w:rPr>
        <w:br/>
        <w:t>i zagrożeń należy monitorować rozwój tego rynku, co ułatwi w przyszłości podejmowanie decyzji w zakresie potencjalnego wdrożenia rozwiązań m-Zdrowia do powszechnego stosowania w systemie ochrony zdrowia.</w:t>
      </w:r>
    </w:p>
    <w:p w:rsidR="00BA4250" w:rsidRDefault="00BA4250" w:rsidP="006017CE">
      <w:pPr>
        <w:spacing w:after="0" w:line="240" w:lineRule="auto"/>
        <w:jc w:val="both"/>
        <w:rPr>
          <w:sz w:val="24"/>
          <w:szCs w:val="24"/>
        </w:rPr>
      </w:pPr>
    </w:p>
    <w:p w:rsidR="00BA4250" w:rsidRPr="00CB7508" w:rsidRDefault="00BA4250" w:rsidP="00AC7630">
      <w:pPr>
        <w:spacing w:after="0" w:line="240" w:lineRule="auto"/>
        <w:rPr>
          <w:sz w:val="24"/>
          <w:szCs w:val="24"/>
        </w:rPr>
      </w:pPr>
    </w:p>
    <w:sectPr w:rsidR="00BA4250" w:rsidRPr="00CB7508" w:rsidSect="007A4BF3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50" w:rsidRDefault="00BA4250">
      <w:pPr>
        <w:spacing w:after="0" w:line="240" w:lineRule="auto"/>
      </w:pPr>
      <w:r>
        <w:separator/>
      </w:r>
    </w:p>
  </w:endnote>
  <w:endnote w:type="continuationSeparator" w:id="0">
    <w:p w:rsidR="00BA4250" w:rsidRDefault="00BA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50" w:rsidRDefault="00BA4250" w:rsidP="00AC5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250" w:rsidRDefault="00BA4250" w:rsidP="00DC37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50" w:rsidRDefault="00BA4250" w:rsidP="00AC5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4250" w:rsidRDefault="00BA4250" w:rsidP="00DC37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50" w:rsidRDefault="00BA4250">
      <w:pPr>
        <w:spacing w:after="0" w:line="240" w:lineRule="auto"/>
      </w:pPr>
      <w:r>
        <w:separator/>
      </w:r>
    </w:p>
  </w:footnote>
  <w:footnote w:type="continuationSeparator" w:id="0">
    <w:p w:rsidR="00BA4250" w:rsidRDefault="00BA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B6F"/>
    <w:multiLevelType w:val="hybridMultilevel"/>
    <w:tmpl w:val="4B427542"/>
    <w:lvl w:ilvl="0" w:tplc="43348E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94188"/>
    <w:multiLevelType w:val="hybridMultilevel"/>
    <w:tmpl w:val="9C46C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B7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0AE2F24"/>
    <w:multiLevelType w:val="singleLevel"/>
    <w:tmpl w:val="4CFAA634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31426CB2"/>
    <w:multiLevelType w:val="hybridMultilevel"/>
    <w:tmpl w:val="4FA0FF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A25EB"/>
    <w:multiLevelType w:val="hybridMultilevel"/>
    <w:tmpl w:val="AE1CE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D6B12"/>
    <w:multiLevelType w:val="hybridMultilevel"/>
    <w:tmpl w:val="9A00719C"/>
    <w:lvl w:ilvl="0" w:tplc="6E344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CD2"/>
    <w:rsid w:val="00007646"/>
    <w:rsid w:val="00016A2B"/>
    <w:rsid w:val="000678E5"/>
    <w:rsid w:val="00080F8B"/>
    <w:rsid w:val="00083233"/>
    <w:rsid w:val="0008622F"/>
    <w:rsid w:val="000969C0"/>
    <w:rsid w:val="0009755C"/>
    <w:rsid w:val="000B095C"/>
    <w:rsid w:val="000B7727"/>
    <w:rsid w:val="000C1516"/>
    <w:rsid w:val="000C5B1E"/>
    <w:rsid w:val="000D0580"/>
    <w:rsid w:val="000D4B34"/>
    <w:rsid w:val="000E222E"/>
    <w:rsid w:val="000F06CE"/>
    <w:rsid w:val="000F5B11"/>
    <w:rsid w:val="0010794F"/>
    <w:rsid w:val="00112FD3"/>
    <w:rsid w:val="00113581"/>
    <w:rsid w:val="0017589C"/>
    <w:rsid w:val="001802E1"/>
    <w:rsid w:val="00180BCF"/>
    <w:rsid w:val="001833DE"/>
    <w:rsid w:val="00185122"/>
    <w:rsid w:val="00191558"/>
    <w:rsid w:val="00196A0A"/>
    <w:rsid w:val="0019731F"/>
    <w:rsid w:val="001A40FA"/>
    <w:rsid w:val="001B5901"/>
    <w:rsid w:val="001C0D4B"/>
    <w:rsid w:val="001C265A"/>
    <w:rsid w:val="001D4422"/>
    <w:rsid w:val="001D7522"/>
    <w:rsid w:val="001E5D01"/>
    <w:rsid w:val="001F6D5C"/>
    <w:rsid w:val="00201803"/>
    <w:rsid w:val="002025EA"/>
    <w:rsid w:val="00206F21"/>
    <w:rsid w:val="00211E35"/>
    <w:rsid w:val="00216BF9"/>
    <w:rsid w:val="00224F05"/>
    <w:rsid w:val="0022652A"/>
    <w:rsid w:val="002420C3"/>
    <w:rsid w:val="00256A91"/>
    <w:rsid w:val="00270091"/>
    <w:rsid w:val="002870AD"/>
    <w:rsid w:val="00295CFD"/>
    <w:rsid w:val="00297D3C"/>
    <w:rsid w:val="002A3396"/>
    <w:rsid w:val="002B4625"/>
    <w:rsid w:val="002B4F44"/>
    <w:rsid w:val="002C134D"/>
    <w:rsid w:val="002C37D8"/>
    <w:rsid w:val="002F5597"/>
    <w:rsid w:val="002F6D88"/>
    <w:rsid w:val="00313EB5"/>
    <w:rsid w:val="003339AA"/>
    <w:rsid w:val="0033783A"/>
    <w:rsid w:val="003412F8"/>
    <w:rsid w:val="00343712"/>
    <w:rsid w:val="00345D6A"/>
    <w:rsid w:val="0035136C"/>
    <w:rsid w:val="003540EC"/>
    <w:rsid w:val="00365D33"/>
    <w:rsid w:val="0038553B"/>
    <w:rsid w:val="003864CC"/>
    <w:rsid w:val="00396FCE"/>
    <w:rsid w:val="003A14C1"/>
    <w:rsid w:val="003A36B6"/>
    <w:rsid w:val="003A491C"/>
    <w:rsid w:val="003B3864"/>
    <w:rsid w:val="003C1FFD"/>
    <w:rsid w:val="003C5179"/>
    <w:rsid w:val="003D1FD0"/>
    <w:rsid w:val="003E1D9C"/>
    <w:rsid w:val="003E318E"/>
    <w:rsid w:val="003E4E34"/>
    <w:rsid w:val="003F6E5B"/>
    <w:rsid w:val="004115A2"/>
    <w:rsid w:val="00413068"/>
    <w:rsid w:val="004220B4"/>
    <w:rsid w:val="004278A2"/>
    <w:rsid w:val="004325EE"/>
    <w:rsid w:val="00443775"/>
    <w:rsid w:val="004505B5"/>
    <w:rsid w:val="00454542"/>
    <w:rsid w:val="004648E6"/>
    <w:rsid w:val="0047242B"/>
    <w:rsid w:val="004750CE"/>
    <w:rsid w:val="00485DCE"/>
    <w:rsid w:val="004927D4"/>
    <w:rsid w:val="004947F9"/>
    <w:rsid w:val="004961B5"/>
    <w:rsid w:val="004A361E"/>
    <w:rsid w:val="004B4453"/>
    <w:rsid w:val="004C46E1"/>
    <w:rsid w:val="004C506F"/>
    <w:rsid w:val="004E73BE"/>
    <w:rsid w:val="004F3BFD"/>
    <w:rsid w:val="004F3E4F"/>
    <w:rsid w:val="004F41EE"/>
    <w:rsid w:val="004F7407"/>
    <w:rsid w:val="004F794B"/>
    <w:rsid w:val="00501164"/>
    <w:rsid w:val="005041F6"/>
    <w:rsid w:val="005054B6"/>
    <w:rsid w:val="005246B8"/>
    <w:rsid w:val="005257E1"/>
    <w:rsid w:val="00527614"/>
    <w:rsid w:val="0052773F"/>
    <w:rsid w:val="00534BF5"/>
    <w:rsid w:val="00552746"/>
    <w:rsid w:val="005608F4"/>
    <w:rsid w:val="00565ABC"/>
    <w:rsid w:val="005668D1"/>
    <w:rsid w:val="0059245E"/>
    <w:rsid w:val="005B35E0"/>
    <w:rsid w:val="005C4CE7"/>
    <w:rsid w:val="005D4D45"/>
    <w:rsid w:val="005D68B8"/>
    <w:rsid w:val="005D6B46"/>
    <w:rsid w:val="005D716A"/>
    <w:rsid w:val="005D7B34"/>
    <w:rsid w:val="005E6D3A"/>
    <w:rsid w:val="005F69B1"/>
    <w:rsid w:val="006017CE"/>
    <w:rsid w:val="00603BAF"/>
    <w:rsid w:val="006163CA"/>
    <w:rsid w:val="00616CD9"/>
    <w:rsid w:val="00620552"/>
    <w:rsid w:val="00626A77"/>
    <w:rsid w:val="00632F8B"/>
    <w:rsid w:val="0063769B"/>
    <w:rsid w:val="00647867"/>
    <w:rsid w:val="0065265A"/>
    <w:rsid w:val="00652FC6"/>
    <w:rsid w:val="00654C69"/>
    <w:rsid w:val="00666BFB"/>
    <w:rsid w:val="00684E76"/>
    <w:rsid w:val="0068666A"/>
    <w:rsid w:val="00692334"/>
    <w:rsid w:val="0069598B"/>
    <w:rsid w:val="006B184C"/>
    <w:rsid w:val="006B21AC"/>
    <w:rsid w:val="006C4A71"/>
    <w:rsid w:val="006D7521"/>
    <w:rsid w:val="006F370A"/>
    <w:rsid w:val="00706FAC"/>
    <w:rsid w:val="00712753"/>
    <w:rsid w:val="00712D83"/>
    <w:rsid w:val="007134CC"/>
    <w:rsid w:val="00714797"/>
    <w:rsid w:val="00720538"/>
    <w:rsid w:val="0072673E"/>
    <w:rsid w:val="007323F5"/>
    <w:rsid w:val="007325E8"/>
    <w:rsid w:val="00734614"/>
    <w:rsid w:val="0073667B"/>
    <w:rsid w:val="007426F1"/>
    <w:rsid w:val="0075591F"/>
    <w:rsid w:val="0078412D"/>
    <w:rsid w:val="00785CD3"/>
    <w:rsid w:val="00792575"/>
    <w:rsid w:val="007A137F"/>
    <w:rsid w:val="007A4BF3"/>
    <w:rsid w:val="007A52D0"/>
    <w:rsid w:val="007B1BEA"/>
    <w:rsid w:val="007B6935"/>
    <w:rsid w:val="007C2E7E"/>
    <w:rsid w:val="007E0AE4"/>
    <w:rsid w:val="007E1DEB"/>
    <w:rsid w:val="007E3BE3"/>
    <w:rsid w:val="007E5339"/>
    <w:rsid w:val="007E57FB"/>
    <w:rsid w:val="007F6961"/>
    <w:rsid w:val="008057B0"/>
    <w:rsid w:val="00836D40"/>
    <w:rsid w:val="00872043"/>
    <w:rsid w:val="008729B4"/>
    <w:rsid w:val="008800D4"/>
    <w:rsid w:val="0088346B"/>
    <w:rsid w:val="008A0BDB"/>
    <w:rsid w:val="008A4CA1"/>
    <w:rsid w:val="008B4704"/>
    <w:rsid w:val="008B5B39"/>
    <w:rsid w:val="008B6564"/>
    <w:rsid w:val="008B7DAB"/>
    <w:rsid w:val="008C1638"/>
    <w:rsid w:val="008D6772"/>
    <w:rsid w:val="008E4136"/>
    <w:rsid w:val="008E6D8F"/>
    <w:rsid w:val="008E7E4B"/>
    <w:rsid w:val="00903433"/>
    <w:rsid w:val="009135A1"/>
    <w:rsid w:val="009170A0"/>
    <w:rsid w:val="00917482"/>
    <w:rsid w:val="00917887"/>
    <w:rsid w:val="00921BD6"/>
    <w:rsid w:val="009231FE"/>
    <w:rsid w:val="0092603F"/>
    <w:rsid w:val="00926B68"/>
    <w:rsid w:val="0093006C"/>
    <w:rsid w:val="00934257"/>
    <w:rsid w:val="0094086E"/>
    <w:rsid w:val="00950C17"/>
    <w:rsid w:val="00955122"/>
    <w:rsid w:val="009577F1"/>
    <w:rsid w:val="0096346A"/>
    <w:rsid w:val="009672B2"/>
    <w:rsid w:val="00976822"/>
    <w:rsid w:val="00987388"/>
    <w:rsid w:val="00990EF9"/>
    <w:rsid w:val="009B1F1C"/>
    <w:rsid w:val="009B2129"/>
    <w:rsid w:val="009B77B4"/>
    <w:rsid w:val="009C0BCD"/>
    <w:rsid w:val="009C0E1A"/>
    <w:rsid w:val="00A03837"/>
    <w:rsid w:val="00A067E3"/>
    <w:rsid w:val="00A2721C"/>
    <w:rsid w:val="00A30410"/>
    <w:rsid w:val="00A344F9"/>
    <w:rsid w:val="00A350DE"/>
    <w:rsid w:val="00A459BF"/>
    <w:rsid w:val="00A52F34"/>
    <w:rsid w:val="00A53401"/>
    <w:rsid w:val="00A57B58"/>
    <w:rsid w:val="00A61718"/>
    <w:rsid w:val="00A63BB0"/>
    <w:rsid w:val="00A6465B"/>
    <w:rsid w:val="00A71CB1"/>
    <w:rsid w:val="00A80A28"/>
    <w:rsid w:val="00A90831"/>
    <w:rsid w:val="00AA7647"/>
    <w:rsid w:val="00AB40A2"/>
    <w:rsid w:val="00AB44F9"/>
    <w:rsid w:val="00AC59C0"/>
    <w:rsid w:val="00AC7630"/>
    <w:rsid w:val="00AD05AD"/>
    <w:rsid w:val="00AD0C3E"/>
    <w:rsid w:val="00AD0C9C"/>
    <w:rsid w:val="00AD4C93"/>
    <w:rsid w:val="00AF3260"/>
    <w:rsid w:val="00AF3AD6"/>
    <w:rsid w:val="00AF498F"/>
    <w:rsid w:val="00AF618A"/>
    <w:rsid w:val="00B01144"/>
    <w:rsid w:val="00B125C8"/>
    <w:rsid w:val="00B156D7"/>
    <w:rsid w:val="00B1729E"/>
    <w:rsid w:val="00B2441B"/>
    <w:rsid w:val="00B426F9"/>
    <w:rsid w:val="00B42FDC"/>
    <w:rsid w:val="00B53097"/>
    <w:rsid w:val="00B62085"/>
    <w:rsid w:val="00B669C9"/>
    <w:rsid w:val="00B71DC0"/>
    <w:rsid w:val="00B86BF9"/>
    <w:rsid w:val="00B94393"/>
    <w:rsid w:val="00B958AC"/>
    <w:rsid w:val="00B971C7"/>
    <w:rsid w:val="00BA4250"/>
    <w:rsid w:val="00BA576E"/>
    <w:rsid w:val="00BC4298"/>
    <w:rsid w:val="00BC4C27"/>
    <w:rsid w:val="00C00491"/>
    <w:rsid w:val="00C0346D"/>
    <w:rsid w:val="00C10C46"/>
    <w:rsid w:val="00C3207D"/>
    <w:rsid w:val="00C34E21"/>
    <w:rsid w:val="00C35990"/>
    <w:rsid w:val="00C3700D"/>
    <w:rsid w:val="00C404BC"/>
    <w:rsid w:val="00C428E8"/>
    <w:rsid w:val="00C43685"/>
    <w:rsid w:val="00C64F57"/>
    <w:rsid w:val="00C735FF"/>
    <w:rsid w:val="00C91951"/>
    <w:rsid w:val="00CA4A1E"/>
    <w:rsid w:val="00CB7000"/>
    <w:rsid w:val="00CB7508"/>
    <w:rsid w:val="00CC1A3F"/>
    <w:rsid w:val="00CC421E"/>
    <w:rsid w:val="00CD0983"/>
    <w:rsid w:val="00CD13A2"/>
    <w:rsid w:val="00CD6834"/>
    <w:rsid w:val="00CE16BB"/>
    <w:rsid w:val="00CF2A23"/>
    <w:rsid w:val="00CF7853"/>
    <w:rsid w:val="00D05C20"/>
    <w:rsid w:val="00D07CD2"/>
    <w:rsid w:val="00D14478"/>
    <w:rsid w:val="00D23AEC"/>
    <w:rsid w:val="00D31C9E"/>
    <w:rsid w:val="00D31D27"/>
    <w:rsid w:val="00D321F5"/>
    <w:rsid w:val="00D35826"/>
    <w:rsid w:val="00D36271"/>
    <w:rsid w:val="00D36FD4"/>
    <w:rsid w:val="00D509B9"/>
    <w:rsid w:val="00D537F4"/>
    <w:rsid w:val="00D730C0"/>
    <w:rsid w:val="00D80DDE"/>
    <w:rsid w:val="00DA52BD"/>
    <w:rsid w:val="00DA7F6C"/>
    <w:rsid w:val="00DC0C9A"/>
    <w:rsid w:val="00DC31C0"/>
    <w:rsid w:val="00DC37E3"/>
    <w:rsid w:val="00DD5B41"/>
    <w:rsid w:val="00DE534F"/>
    <w:rsid w:val="00DF360C"/>
    <w:rsid w:val="00E05865"/>
    <w:rsid w:val="00E1056E"/>
    <w:rsid w:val="00E2424F"/>
    <w:rsid w:val="00E35BB6"/>
    <w:rsid w:val="00E40142"/>
    <w:rsid w:val="00E44B30"/>
    <w:rsid w:val="00E60DCF"/>
    <w:rsid w:val="00E82780"/>
    <w:rsid w:val="00E82DCC"/>
    <w:rsid w:val="00E8795C"/>
    <w:rsid w:val="00E95251"/>
    <w:rsid w:val="00EA0B11"/>
    <w:rsid w:val="00EB3716"/>
    <w:rsid w:val="00EB4949"/>
    <w:rsid w:val="00EB774B"/>
    <w:rsid w:val="00EC149A"/>
    <w:rsid w:val="00EC39A6"/>
    <w:rsid w:val="00ED1F69"/>
    <w:rsid w:val="00ED3025"/>
    <w:rsid w:val="00EF6CD8"/>
    <w:rsid w:val="00F11087"/>
    <w:rsid w:val="00F13D3F"/>
    <w:rsid w:val="00F15DC7"/>
    <w:rsid w:val="00F26046"/>
    <w:rsid w:val="00F513B9"/>
    <w:rsid w:val="00F54039"/>
    <w:rsid w:val="00F66B80"/>
    <w:rsid w:val="00F674B6"/>
    <w:rsid w:val="00F72EC2"/>
    <w:rsid w:val="00F84E1F"/>
    <w:rsid w:val="00F86515"/>
    <w:rsid w:val="00F9339D"/>
    <w:rsid w:val="00FA4AE3"/>
    <w:rsid w:val="00FA5058"/>
    <w:rsid w:val="00FB0DD2"/>
    <w:rsid w:val="00FB14B4"/>
    <w:rsid w:val="00FB43B6"/>
    <w:rsid w:val="00FB5FC6"/>
    <w:rsid w:val="00FC223B"/>
    <w:rsid w:val="00FD05EE"/>
    <w:rsid w:val="00FD5C67"/>
    <w:rsid w:val="00FD73FA"/>
    <w:rsid w:val="00FE3268"/>
    <w:rsid w:val="00FF5DCE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61B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61B5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61B5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61B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6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1B5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61B5"/>
    <w:rPr>
      <w:rFonts w:ascii="Arial" w:hAnsi="Arial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61B5"/>
    <w:rPr>
      <w:rFonts w:ascii="Times New Roman" w:hAnsi="Times New Roman" w:cs="Times New Roman"/>
      <w:b/>
      <w:sz w:val="28"/>
      <w:shd w:val="pct12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61B5"/>
    <w:rPr>
      <w:rFonts w:ascii="Times New Roman" w:hAnsi="Times New Roman" w:cs="Times New Roman"/>
      <w:i/>
      <w:sz w:val="26"/>
    </w:rPr>
  </w:style>
  <w:style w:type="paragraph" w:styleId="BodyTextIndent">
    <w:name w:val="Body Text Indent"/>
    <w:basedOn w:val="Normal"/>
    <w:link w:val="BodyTextIndentChar"/>
    <w:uiPriority w:val="99"/>
    <w:rsid w:val="00113581"/>
    <w:p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3581"/>
    <w:rPr>
      <w:rFonts w:ascii="Times New Roman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rsid w:val="004961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61B5"/>
    <w:rPr>
      <w:rFonts w:cs="Times New Roman"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4961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61B5"/>
    <w:rPr>
      <w:rFonts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61B5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61B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5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12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65A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667B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65ABC"/>
    <w:rPr>
      <w:rFonts w:cs="Times New Roman"/>
      <w:shd w:val="clear" w:color="auto" w:fill="auto"/>
      <w:vertAlign w:val="superscript"/>
    </w:rPr>
  </w:style>
  <w:style w:type="character" w:styleId="Hyperlink">
    <w:name w:val="Hyperlink"/>
    <w:basedOn w:val="DefaultParagraphFont"/>
    <w:uiPriority w:val="99"/>
    <w:rsid w:val="00A350DE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2A33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6A77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A339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C37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ur-lex.europa.eu/LexUriServ/LexUriServ.do?uri=CELEX:32002L0058:PL:N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CELEX:31995L0046:PL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1126</TotalTime>
  <Pages>6</Pages>
  <Words>2397</Words>
  <Characters>14386</Characters>
  <Application>Microsoft Office Outlook</Application>
  <DocSecurity>0</DocSecurity>
  <Lines>0</Lines>
  <Paragraphs>0</Paragraphs>
  <ScaleCrop>false</ScaleCrop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Wojciech Marciszko</dc:creator>
  <cp:keywords/>
  <dc:description/>
  <cp:lastModifiedBy>w.marciszko</cp:lastModifiedBy>
  <cp:revision>77</cp:revision>
  <dcterms:created xsi:type="dcterms:W3CDTF">2014-04-28T12:38:00Z</dcterms:created>
  <dcterms:modified xsi:type="dcterms:W3CDTF">2014-05-28T09:11:00Z</dcterms:modified>
</cp:coreProperties>
</file>