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17" w:rsidRDefault="00AE1F17" w:rsidP="00AE1F17">
      <w:pPr>
        <w:pStyle w:val="Style6"/>
        <w:widowControl/>
        <w:spacing w:before="58" w:line="240" w:lineRule="auto"/>
        <w:ind w:left="3463"/>
        <w:jc w:val="both"/>
        <w:rPr>
          <w:rStyle w:val="FontStyle25"/>
        </w:rPr>
      </w:pPr>
      <w:r>
        <w:rPr>
          <w:rStyle w:val="FontStyle25"/>
        </w:rPr>
        <w:t>UZASADNIENIE</w:t>
      </w:r>
    </w:p>
    <w:p w:rsidR="00AE1F17" w:rsidRDefault="00AE1F17" w:rsidP="00764FC0">
      <w:pPr>
        <w:pStyle w:val="Style18"/>
        <w:widowControl/>
        <w:spacing w:before="120" w:line="240" w:lineRule="exact"/>
        <w:rPr>
          <w:sz w:val="20"/>
          <w:szCs w:val="20"/>
        </w:rPr>
      </w:pPr>
    </w:p>
    <w:p w:rsidR="00703EC3" w:rsidRDefault="00763DBD" w:rsidP="00764FC0">
      <w:pPr>
        <w:spacing w:before="120"/>
        <w:ind w:firstLine="708"/>
        <w:jc w:val="both"/>
      </w:pPr>
      <w:r>
        <w:t xml:space="preserve">Upoważnienie </w:t>
      </w:r>
      <w:r w:rsidR="002C0B1F">
        <w:t xml:space="preserve">do wydania </w:t>
      </w:r>
      <w:r w:rsidR="00703EC3">
        <w:t xml:space="preserve">projektowanego </w:t>
      </w:r>
      <w:r w:rsidR="002C0B1F">
        <w:t xml:space="preserve">rozporządzenia wynika z </w:t>
      </w:r>
      <w:r w:rsidR="002C0B1F" w:rsidRPr="00A806CA">
        <w:t xml:space="preserve">art. 27 ust. 4 </w:t>
      </w:r>
      <w:r w:rsidR="002C0B1F" w:rsidRPr="00FC5BDC">
        <w:rPr>
          <w:i/>
        </w:rPr>
        <w:t xml:space="preserve">ustawy z dnia 11 lipca 2014 r. o zasadach realizacji programów w zakresie polityki spójności finansowanych w perspektywie finansowej 2014-2020 </w:t>
      </w:r>
      <w:r w:rsidR="002C0B1F" w:rsidRPr="00647041">
        <w:t>(Dz. U. poz. 1146</w:t>
      </w:r>
      <w:r w:rsidR="00394A13">
        <w:t xml:space="preserve"> z późn. zm.</w:t>
      </w:r>
      <w:r w:rsidR="002C0B1F" w:rsidRPr="00647041">
        <w:t>)</w:t>
      </w:r>
      <w:r w:rsidR="002C0B1F">
        <w:t>.</w:t>
      </w:r>
      <w:r w:rsidR="002C0B1F" w:rsidRPr="00A806CA">
        <w:t xml:space="preserve"> </w:t>
      </w:r>
      <w:r>
        <w:t>Projektowane r</w:t>
      </w:r>
      <w:r w:rsidR="002C0B1F">
        <w:t xml:space="preserve">ozporządzenie </w:t>
      </w:r>
      <w:r w:rsidR="004522F5">
        <w:t xml:space="preserve">tworzy podstawy prawne do wydatkowania </w:t>
      </w:r>
      <w:r w:rsidR="004522F5" w:rsidRPr="004522F5">
        <w:t>środków U</w:t>
      </w:r>
      <w:r w:rsidR="00703EC3">
        <w:t xml:space="preserve">nii </w:t>
      </w:r>
      <w:r w:rsidR="004522F5" w:rsidRPr="004522F5">
        <w:t>E</w:t>
      </w:r>
      <w:r w:rsidR="00703EC3">
        <w:t>uropejskiej</w:t>
      </w:r>
      <w:r w:rsidR="004522F5" w:rsidRPr="004522F5">
        <w:t xml:space="preserve"> w</w:t>
      </w:r>
      <w:r w:rsidR="00B50763">
        <w:t> </w:t>
      </w:r>
      <w:r w:rsidR="004522F5" w:rsidRPr="004522F5">
        <w:t xml:space="preserve">ramach działania </w:t>
      </w:r>
      <w:r w:rsidR="004522F5">
        <w:t>3</w:t>
      </w:r>
      <w:r w:rsidR="00394A13">
        <w:t>.2</w:t>
      </w:r>
      <w:r w:rsidR="004522F5">
        <w:t xml:space="preserve"> </w:t>
      </w:r>
      <w:r w:rsidR="00703EC3">
        <w:t>–</w:t>
      </w:r>
      <w:r w:rsidR="00394A13">
        <w:t xml:space="preserve"> </w:t>
      </w:r>
      <w:r w:rsidR="00394A13">
        <w:rPr>
          <w:i/>
        </w:rPr>
        <w:t>I</w:t>
      </w:r>
      <w:r w:rsidR="00394A13" w:rsidRPr="00394A13">
        <w:rPr>
          <w:i/>
        </w:rPr>
        <w:t>nnowacyjne rozwiązania na rzecz aktywizacji cyfrowej</w:t>
      </w:r>
      <w:r w:rsidR="004522F5" w:rsidRPr="00076C17" w:rsidDel="00076C17">
        <w:rPr>
          <w:i/>
        </w:rPr>
        <w:t xml:space="preserve"> </w:t>
      </w:r>
      <w:r w:rsidR="004522F5">
        <w:t xml:space="preserve">Programu Operacyjnego Polska Cyfrowa </w:t>
      </w:r>
      <w:r w:rsidR="004522F5">
        <w:rPr>
          <w:rStyle w:val="FontStyle27"/>
        </w:rPr>
        <w:t>na lata 2014 –</w:t>
      </w:r>
      <w:r w:rsidR="004522F5" w:rsidRPr="003D6A34">
        <w:rPr>
          <w:rStyle w:val="FontStyle27"/>
        </w:rPr>
        <w:t xml:space="preserve"> 2020</w:t>
      </w:r>
      <w:r w:rsidR="00121354">
        <w:rPr>
          <w:rStyle w:val="FontStyle27"/>
        </w:rPr>
        <w:t xml:space="preserve"> (</w:t>
      </w:r>
      <w:r w:rsidR="00121354" w:rsidRPr="00121354">
        <w:t>zwany dalej „POPC”</w:t>
      </w:r>
      <w:r w:rsidR="00121354">
        <w:rPr>
          <w:rStyle w:val="FontStyle27"/>
        </w:rPr>
        <w:t>)</w:t>
      </w:r>
      <w:r w:rsidR="004522F5">
        <w:rPr>
          <w:rStyle w:val="FontStyle27"/>
        </w:rPr>
        <w:t xml:space="preserve"> w </w:t>
      </w:r>
      <w:r w:rsidR="004522F5">
        <w:t>rozumieniu</w:t>
      </w:r>
      <w:r w:rsidR="002C0B1F">
        <w:t xml:space="preserve"> art. 107 i 108 Traktatu o funkcjonowaniu U</w:t>
      </w:r>
      <w:r w:rsidR="008019B4">
        <w:t xml:space="preserve">nii </w:t>
      </w:r>
      <w:r w:rsidR="002C0B1F">
        <w:t>E</w:t>
      </w:r>
      <w:r w:rsidR="008019B4">
        <w:t>uropejskiej</w:t>
      </w:r>
      <w:r w:rsidR="001274DF">
        <w:t>.</w:t>
      </w:r>
      <w:r w:rsidR="00703EC3" w:rsidRPr="00703EC3">
        <w:t xml:space="preserve"> </w:t>
      </w:r>
    </w:p>
    <w:p w:rsidR="00703EC3" w:rsidRDefault="00703EC3" w:rsidP="00764FC0">
      <w:pPr>
        <w:spacing w:before="120"/>
        <w:ind w:firstLine="708"/>
        <w:jc w:val="both"/>
      </w:pPr>
      <w:r>
        <w:t xml:space="preserve">Pomoc w ramach działania, o którym mowa w akapicie pierwszym, będzie udzielana w formie </w:t>
      </w:r>
      <w:r w:rsidR="00E666A6" w:rsidRPr="00E666A6">
        <w:t>wsparcia z płatności z budżetu środków europejskich lub bezzwrotnej dotacji celowej</w:t>
      </w:r>
      <w:r w:rsidR="00E666A6" w:rsidRPr="00E666A6" w:rsidDel="00E666A6">
        <w:t xml:space="preserve"> </w:t>
      </w:r>
      <w:r>
        <w:t xml:space="preserve">na cele szczegółowo określone w dokumencie pn. </w:t>
      </w:r>
      <w:r w:rsidRPr="00E67147">
        <w:rPr>
          <w:i/>
        </w:rPr>
        <w:t>Szczegółowy opis osi priorytetowych Programu Operacyjnego Polska Cyfrowa na lata 2014-2020</w:t>
      </w:r>
      <w:r w:rsidR="005C7FE6">
        <w:t>, zwany dalej „SZOP”.</w:t>
      </w:r>
      <w:bookmarkStart w:id="0" w:name="_GoBack"/>
      <w:bookmarkEnd w:id="0"/>
    </w:p>
    <w:p w:rsidR="00703EC3" w:rsidRDefault="00703EC3" w:rsidP="00417443">
      <w:pPr>
        <w:spacing w:before="120"/>
        <w:ind w:left="709"/>
        <w:jc w:val="both"/>
      </w:pPr>
      <w:r>
        <w:t xml:space="preserve">Podstawą prawną </w:t>
      </w:r>
      <w:r w:rsidR="003F1645">
        <w:t xml:space="preserve">udzielania pomocy </w:t>
      </w:r>
      <w:r>
        <w:t xml:space="preserve"> są akty unijne:</w:t>
      </w:r>
    </w:p>
    <w:p w:rsidR="00703EC3" w:rsidRDefault="00703EC3" w:rsidP="003F1645">
      <w:pPr>
        <w:pStyle w:val="Akapitzlist"/>
        <w:numPr>
          <w:ilvl w:val="0"/>
          <w:numId w:val="6"/>
        </w:numPr>
        <w:jc w:val="both"/>
      </w:pPr>
      <w:r>
        <w:t>rozporządzenie Komisji (UE) nr 1407/2013 z dnia 18 grudnia 2013 r. w sprawie stosowania art. 107 i 108 Traktatu o funkcjonowaniu Unii Europejskiej do pomocy de minimis (Dz. Urz. UE L 352 z 24.12.2013, str. 1</w:t>
      </w:r>
      <w:r w:rsidR="00761E11">
        <w:t>), zwane dalej „</w:t>
      </w:r>
      <w:r>
        <w:t>rozporządzenie</w:t>
      </w:r>
      <w:r w:rsidR="00761E11">
        <w:t>m</w:t>
      </w:r>
      <w:r>
        <w:t xml:space="preserve"> Komisji (UE) nr 1407/2013</w:t>
      </w:r>
      <w:r w:rsidR="00761E11">
        <w:t>”</w:t>
      </w:r>
      <w:r>
        <w:t xml:space="preserve"> oraz</w:t>
      </w:r>
    </w:p>
    <w:p w:rsidR="00703EC3" w:rsidRDefault="00703EC3" w:rsidP="003F1645">
      <w:pPr>
        <w:pStyle w:val="Akapitzlist"/>
        <w:numPr>
          <w:ilvl w:val="0"/>
          <w:numId w:val="6"/>
        </w:numPr>
        <w:jc w:val="both"/>
      </w:pPr>
      <w:r>
        <w:t>rozporządzenie Komisji (UE) nr 651/2014 z dnia 17 czerwca 2014 r. uznającego niektóre rodzaje pomocy za zgodne z rynkiem wewnętrznym w zastosowaniu art. 107 i 108 Traktatu (Dz. Urz. UE L 187 z 26.</w:t>
      </w:r>
      <w:r w:rsidR="00761E11">
        <w:t>0</w:t>
      </w:r>
      <w:r>
        <w:t>6.2014, str. 1</w:t>
      </w:r>
      <w:r w:rsidR="00761E11">
        <w:t>), zwane</w:t>
      </w:r>
      <w:r>
        <w:t xml:space="preserve"> dalej </w:t>
      </w:r>
      <w:r w:rsidR="00761E11">
        <w:t>„</w:t>
      </w:r>
      <w:r>
        <w:t>rozporządzenie</w:t>
      </w:r>
      <w:r w:rsidR="00761E11">
        <w:t>m</w:t>
      </w:r>
      <w:r>
        <w:t xml:space="preserve"> Komisji (UE) nr 651/2014</w:t>
      </w:r>
      <w:r w:rsidR="00761E11">
        <w:t>"</w:t>
      </w:r>
      <w:r>
        <w:t>.</w:t>
      </w:r>
    </w:p>
    <w:p w:rsidR="00703EC3" w:rsidRDefault="00B50763" w:rsidP="003F1645">
      <w:pPr>
        <w:ind w:firstLine="360"/>
        <w:jc w:val="both"/>
      </w:pPr>
      <w:r>
        <w:t xml:space="preserve">Udzielanie bezzwrotnych dotacji w oparciu o ww. podstawy prawne pozwala uniknąć </w:t>
      </w:r>
      <w:r w:rsidR="00703EC3">
        <w:t xml:space="preserve">obowiązku notyfikacji wynikającego z art. 108 </w:t>
      </w:r>
      <w:r w:rsidR="00761E11">
        <w:t>Traktatu o funkcjonowaniu Unii Europejskiej</w:t>
      </w:r>
      <w:r w:rsidR="00703EC3">
        <w:t>.</w:t>
      </w:r>
    </w:p>
    <w:p w:rsidR="00AE1F17" w:rsidRDefault="00263F24" w:rsidP="00E9486C">
      <w:pPr>
        <w:pStyle w:val="Style18"/>
        <w:widowControl/>
        <w:spacing w:before="120"/>
        <w:ind w:firstLine="726"/>
        <w:rPr>
          <w:rStyle w:val="FontStyle27"/>
          <w:rFonts w:eastAsiaTheme="minorEastAsia"/>
        </w:rPr>
      </w:pPr>
      <w:r>
        <w:t xml:space="preserve">Projektowane </w:t>
      </w:r>
      <w:r>
        <w:rPr>
          <w:rStyle w:val="FontStyle27"/>
        </w:rPr>
        <w:t>r</w:t>
      </w:r>
      <w:r w:rsidR="00AE1F17">
        <w:rPr>
          <w:rStyle w:val="FontStyle27"/>
        </w:rPr>
        <w:t xml:space="preserve">ozporządzenie reguluje szczegółowe przeznaczenie, warunki i tryb udzielania pomocy finansowej w ramach </w:t>
      </w:r>
      <w:r w:rsidR="00394A13" w:rsidRPr="00394A13">
        <w:t xml:space="preserve">działania 3.2 – </w:t>
      </w:r>
      <w:r w:rsidR="00394A13" w:rsidRPr="00394A13">
        <w:rPr>
          <w:i/>
        </w:rPr>
        <w:t>Innowacyjne rozwiązania na rzecz aktywizacji cyfrowej</w:t>
      </w:r>
      <w:r w:rsidR="00394A13" w:rsidRPr="00394A13" w:rsidDel="00076C17">
        <w:rPr>
          <w:i/>
        </w:rPr>
        <w:t xml:space="preserve"> </w:t>
      </w:r>
      <w:r w:rsidR="00394A13">
        <w:t xml:space="preserve">w </w:t>
      </w:r>
      <w:r w:rsidR="00394A13">
        <w:rPr>
          <w:rStyle w:val="FontStyle27"/>
        </w:rPr>
        <w:t>trzec</w:t>
      </w:r>
      <w:r w:rsidR="003D6A34" w:rsidRPr="003D6A34">
        <w:rPr>
          <w:rStyle w:val="FontStyle27"/>
        </w:rPr>
        <w:t>iej osi priorytetowe</w:t>
      </w:r>
      <w:r w:rsidR="001454F4">
        <w:rPr>
          <w:rStyle w:val="FontStyle27"/>
        </w:rPr>
        <w:t xml:space="preserve">j </w:t>
      </w:r>
      <w:r w:rsidR="00121354">
        <w:rPr>
          <w:rStyle w:val="FontStyle27"/>
        </w:rPr>
        <w:t>POPC</w:t>
      </w:r>
      <w:r w:rsidR="00AE1F17">
        <w:rPr>
          <w:rStyle w:val="FontStyle27"/>
        </w:rPr>
        <w:t>.</w:t>
      </w:r>
    </w:p>
    <w:p w:rsidR="001454F4" w:rsidRPr="001454F4" w:rsidRDefault="00AE1F17" w:rsidP="00E9486C">
      <w:pPr>
        <w:pStyle w:val="Style18"/>
        <w:widowControl/>
        <w:spacing w:before="120"/>
        <w:ind w:firstLine="731"/>
        <w:rPr>
          <w:rStyle w:val="FontStyle27"/>
          <w:rFonts w:eastAsiaTheme="minorEastAsia"/>
        </w:rPr>
      </w:pPr>
      <w:r>
        <w:rPr>
          <w:rStyle w:val="FontStyle27"/>
        </w:rPr>
        <w:t xml:space="preserve">Celem </w:t>
      </w:r>
      <w:r w:rsidR="002C0B1F">
        <w:rPr>
          <w:rStyle w:val="FontStyle27"/>
        </w:rPr>
        <w:t>poddziałania</w:t>
      </w:r>
      <w:r w:rsidR="001454F4">
        <w:rPr>
          <w:rStyle w:val="FontStyle27"/>
        </w:rPr>
        <w:t xml:space="preserve"> 3</w:t>
      </w:r>
      <w:r w:rsidR="00A9706B">
        <w:rPr>
          <w:rStyle w:val="FontStyle27"/>
        </w:rPr>
        <w:t>.</w:t>
      </w:r>
      <w:r w:rsidR="00F457A5">
        <w:rPr>
          <w:rStyle w:val="FontStyle27"/>
        </w:rPr>
        <w:t>2</w:t>
      </w:r>
      <w:r>
        <w:rPr>
          <w:rStyle w:val="FontStyle27"/>
        </w:rPr>
        <w:t xml:space="preserve"> jest </w:t>
      </w:r>
      <w:r w:rsidR="00F457A5" w:rsidRPr="00F457A5">
        <w:rPr>
          <w:rStyle w:val="FontStyle27"/>
        </w:rPr>
        <w:t>pobudzanie kreatywności, rozwijanie postaw partycypacyjnych i obywatelskich, budowanie współpracy interdyscyplinarnej oraz wytworzenie wartościowych i jakościowych treści ukazujących możliwo</w:t>
      </w:r>
      <w:r w:rsidR="00F457A5">
        <w:rPr>
          <w:rStyle w:val="FontStyle27"/>
        </w:rPr>
        <w:t>ści i korzyści wykorzystania technologii informacyjno-komunikacyjnych</w:t>
      </w:r>
      <w:r w:rsidR="00F457A5" w:rsidRPr="00F457A5">
        <w:rPr>
          <w:rStyle w:val="FontStyle27"/>
        </w:rPr>
        <w:t xml:space="preserve"> i internetu</w:t>
      </w:r>
      <w:r w:rsidR="007E606C">
        <w:rPr>
          <w:rStyle w:val="FontStyle27"/>
        </w:rPr>
        <w:t>.</w:t>
      </w:r>
      <w:r w:rsidR="007E606C" w:rsidRPr="007E606C">
        <w:t xml:space="preserve"> </w:t>
      </w:r>
      <w:r w:rsidR="007E606C" w:rsidRPr="007E606C">
        <w:rPr>
          <w:rStyle w:val="FontStyle27"/>
        </w:rPr>
        <w:t>Interwencja realizowana w ramach niniejszego działania przyczyni się do zwiększen</w:t>
      </w:r>
      <w:r w:rsidR="00EE4BF5">
        <w:rPr>
          <w:rStyle w:val="FontStyle27"/>
        </w:rPr>
        <w:t>ia stopnia i jakości</w:t>
      </w:r>
      <w:r w:rsidR="007E606C" w:rsidRPr="007E606C">
        <w:rPr>
          <w:rStyle w:val="FontStyle27"/>
        </w:rPr>
        <w:t xml:space="preserve"> korzystania z TIK, a przez to zwiększenia wykorzystania e-usług publicznych. Działanie przyczyni się także do e-aktywizacji społeczeństwa poprzez nabywanie i rozwijanie kompetencji cyfrowych oraz do rozwoju kapitału społecznego i twórczego w oparciu o technologie cyfrowe.</w:t>
      </w:r>
    </w:p>
    <w:p w:rsidR="004522F5" w:rsidRDefault="00A9706B" w:rsidP="003A3B27">
      <w:pPr>
        <w:spacing w:before="120"/>
        <w:ind w:firstLine="708"/>
        <w:jc w:val="both"/>
      </w:pPr>
      <w:r w:rsidRPr="00CF4690">
        <w:t>Projektowane rozporządzenie przewiduje, że p</w:t>
      </w:r>
      <w:r w:rsidR="004522F5" w:rsidRPr="00CF4690">
        <w:t xml:space="preserve">omoc będzie udzielana jako pomoc de minimis </w:t>
      </w:r>
      <w:r w:rsidRPr="00CF4690">
        <w:t>lub</w:t>
      </w:r>
      <w:r w:rsidR="004522F5" w:rsidRPr="00CF4690">
        <w:t xml:space="preserve"> pomoc </w:t>
      </w:r>
      <w:r w:rsidR="00CF4690">
        <w:t>szkoleniowa</w:t>
      </w:r>
      <w:r w:rsidR="004522F5" w:rsidRPr="00CF4690">
        <w:t>.</w:t>
      </w:r>
    </w:p>
    <w:p w:rsidR="004522F5" w:rsidRDefault="004522F5" w:rsidP="003A3B27">
      <w:pPr>
        <w:spacing w:before="120"/>
        <w:ind w:firstLine="708"/>
        <w:jc w:val="both"/>
      </w:pPr>
      <w:r>
        <w:t xml:space="preserve">W </w:t>
      </w:r>
      <w:r w:rsidR="00A9706B">
        <w:t xml:space="preserve">projekcie </w:t>
      </w:r>
      <w:r>
        <w:t>rozporządzeni</w:t>
      </w:r>
      <w:r w:rsidR="00A9706B">
        <w:t>a</w:t>
      </w:r>
      <w:r>
        <w:t xml:space="preserve"> prz</w:t>
      </w:r>
      <w:r w:rsidR="00A9706B">
        <w:t>y</w:t>
      </w:r>
      <w:r>
        <w:t>jęto założenie, że niezależnie od  tego, któr</w:t>
      </w:r>
      <w:r w:rsidR="00B50763">
        <w:t>y</w:t>
      </w:r>
      <w:r>
        <w:t xml:space="preserve"> z </w:t>
      </w:r>
      <w:r w:rsidR="00A9706B">
        <w:t>aktów prawa Unii Europejskiej wskazanych</w:t>
      </w:r>
      <w:r w:rsidR="002C32FF">
        <w:t xml:space="preserve"> powyżej</w:t>
      </w:r>
      <w:r w:rsidR="00A9706B">
        <w:t xml:space="preserve"> </w:t>
      </w:r>
      <w:r>
        <w:t xml:space="preserve">będzie podstawą prawną wydatkowania środków, zasadnicza część przepisów będzie wspólna. Jednocześnie zrezygnowano z powielania szczegółowych informacji wynikających z dokumentów systemowych, w szczególności SZOP, które </w:t>
      </w:r>
      <w:r w:rsidR="00A9706B">
        <w:t xml:space="preserve">chociaż </w:t>
      </w:r>
      <w:r>
        <w:t>w aspekcie merytorycznym poszerzają informacje dotyczące udzielanej pomocy publicznej</w:t>
      </w:r>
      <w:r w:rsidR="00A9706B">
        <w:t>, to jednak</w:t>
      </w:r>
      <w:r>
        <w:t xml:space="preserve"> mogą ulegać dość częstym zmianom. </w:t>
      </w:r>
    </w:p>
    <w:p w:rsidR="003B55BA" w:rsidRDefault="003B55BA" w:rsidP="003A3B27">
      <w:pPr>
        <w:pStyle w:val="Style18"/>
        <w:widowControl/>
        <w:spacing w:before="120"/>
        <w:ind w:firstLine="742"/>
        <w:rPr>
          <w:rStyle w:val="FontStyle27"/>
        </w:rPr>
      </w:pPr>
      <w:r>
        <w:rPr>
          <w:rStyle w:val="FontStyle27"/>
        </w:rPr>
        <w:t>W odniesieniu do szczegółowego omówienia projektu rozporządzenia należy</w:t>
      </w:r>
      <w:r w:rsidR="00AB7E2E">
        <w:rPr>
          <w:rStyle w:val="FontStyle27"/>
        </w:rPr>
        <w:t xml:space="preserve"> </w:t>
      </w:r>
      <w:r>
        <w:rPr>
          <w:rStyle w:val="FontStyle27"/>
        </w:rPr>
        <w:t>wskazać, że:</w:t>
      </w:r>
    </w:p>
    <w:p w:rsidR="0025440F" w:rsidRDefault="00AB7E2E" w:rsidP="003A3B27">
      <w:pPr>
        <w:pStyle w:val="Style18"/>
        <w:widowControl/>
        <w:numPr>
          <w:ilvl w:val="0"/>
          <w:numId w:val="10"/>
        </w:numPr>
        <w:spacing w:before="120"/>
        <w:rPr>
          <w:rStyle w:val="FontStyle27"/>
        </w:rPr>
      </w:pPr>
      <w:r>
        <w:rPr>
          <w:rStyle w:val="FontStyle27"/>
        </w:rPr>
        <w:t>w</w:t>
      </w:r>
      <w:r w:rsidR="00AE1F17">
        <w:rPr>
          <w:rStyle w:val="FontStyle27"/>
        </w:rPr>
        <w:t xml:space="preserve"> § 1</w:t>
      </w:r>
      <w:r w:rsidR="002C6A0D">
        <w:rPr>
          <w:rStyle w:val="FontStyle27"/>
        </w:rPr>
        <w:t xml:space="preserve"> projektu</w:t>
      </w:r>
      <w:r w:rsidR="00AE1F17">
        <w:rPr>
          <w:rStyle w:val="FontStyle27"/>
        </w:rPr>
        <w:t xml:space="preserve"> wskazano </w:t>
      </w:r>
      <w:r w:rsidR="0025440F">
        <w:rPr>
          <w:rStyle w:val="FontStyle27"/>
        </w:rPr>
        <w:t xml:space="preserve">cel rozporządzenia, czyli umożliwienie przyznawania pomocy </w:t>
      </w:r>
      <w:r w:rsidR="00263F24">
        <w:rPr>
          <w:rStyle w:val="FontStyle27"/>
        </w:rPr>
        <w:t xml:space="preserve">finansowej </w:t>
      </w:r>
      <w:r w:rsidR="0025440F">
        <w:rPr>
          <w:rStyle w:val="FontStyle27"/>
        </w:rPr>
        <w:t>na działani</w:t>
      </w:r>
      <w:r w:rsidR="002C32FF">
        <w:rPr>
          <w:rStyle w:val="FontStyle27"/>
        </w:rPr>
        <w:t>e 3.2</w:t>
      </w:r>
      <w:r w:rsidR="0025440F">
        <w:rPr>
          <w:rStyle w:val="FontStyle27"/>
        </w:rPr>
        <w:t xml:space="preserve"> </w:t>
      </w:r>
      <w:r w:rsidR="00121354">
        <w:rPr>
          <w:rStyle w:val="FontStyle27"/>
        </w:rPr>
        <w:t>POPC</w:t>
      </w:r>
      <w:r>
        <w:rPr>
          <w:rStyle w:val="FontStyle27"/>
        </w:rPr>
        <w:t>;</w:t>
      </w:r>
    </w:p>
    <w:p w:rsidR="00EA6671" w:rsidRPr="00E9486C" w:rsidRDefault="00EA6671" w:rsidP="00E9486C">
      <w:pPr>
        <w:pStyle w:val="Style18"/>
        <w:widowControl/>
        <w:numPr>
          <w:ilvl w:val="0"/>
          <w:numId w:val="10"/>
        </w:numPr>
        <w:spacing w:before="120"/>
        <w:rPr>
          <w:rStyle w:val="FontStyle27"/>
          <w:rFonts w:eastAsiaTheme="minorEastAsia"/>
        </w:rPr>
      </w:pPr>
      <w:r>
        <w:rPr>
          <w:rStyle w:val="FontStyle27"/>
        </w:rPr>
        <w:lastRenderedPageBreak/>
        <w:t>w § 2 projektu zamieszczono definicje pojęć używanych w projekcie rozporządzenia, które są</w:t>
      </w:r>
      <w:r w:rsidRPr="003A539B">
        <w:rPr>
          <w:rStyle w:val="FontStyle27"/>
        </w:rPr>
        <w:t xml:space="preserve"> istotne dla prawidłowego stosowania rozporządzenia oraz racjonalnego wydatkowania środków</w:t>
      </w:r>
      <w:r>
        <w:rPr>
          <w:rStyle w:val="FontStyle27"/>
        </w:rPr>
        <w:t>;</w:t>
      </w:r>
    </w:p>
    <w:p w:rsidR="00054F67" w:rsidRPr="00054F67" w:rsidRDefault="00054F67" w:rsidP="00E9486C">
      <w:pPr>
        <w:pStyle w:val="Style18"/>
        <w:widowControl/>
        <w:numPr>
          <w:ilvl w:val="0"/>
          <w:numId w:val="10"/>
        </w:numPr>
        <w:spacing w:before="120"/>
        <w:rPr>
          <w:rStyle w:val="FontStyle27"/>
          <w:rFonts w:ascii="Times" w:eastAsiaTheme="minorEastAsia" w:hAnsi="Times" w:cs="Arial"/>
          <w:szCs w:val="20"/>
        </w:rPr>
      </w:pPr>
      <w:r>
        <w:t xml:space="preserve">w § 3 </w:t>
      </w:r>
      <w:r w:rsidR="002C32FF">
        <w:t>w</w:t>
      </w:r>
      <w:r>
        <w:t>skazano, iż p</w:t>
      </w:r>
      <w:r w:rsidRPr="0064375D">
        <w:t>omoc jest udzielana w formie bezzwrotnego wsparcia finansowego, przeznaczonego na pokrycie części</w:t>
      </w:r>
      <w:r w:rsidR="002C32FF">
        <w:t xml:space="preserve"> lub całości</w:t>
      </w:r>
      <w:r w:rsidRPr="0064375D">
        <w:t xml:space="preserve"> wydatków kwalifik</w:t>
      </w:r>
      <w:r>
        <w:t>ujących się do objęcia wsparciem</w:t>
      </w:r>
      <w:r w:rsidR="002C32FF">
        <w:t>;</w:t>
      </w:r>
    </w:p>
    <w:p w:rsidR="00E666A6" w:rsidRDefault="00AB7E2E" w:rsidP="00E9486C">
      <w:pPr>
        <w:pStyle w:val="Style18"/>
        <w:widowControl/>
        <w:numPr>
          <w:ilvl w:val="0"/>
          <w:numId w:val="10"/>
        </w:numPr>
        <w:spacing w:before="120"/>
        <w:rPr>
          <w:rStyle w:val="FontStyle27"/>
        </w:rPr>
      </w:pPr>
      <w:r>
        <w:rPr>
          <w:rStyle w:val="FontStyle27"/>
        </w:rPr>
        <w:t>w</w:t>
      </w:r>
      <w:r w:rsidR="0025440F">
        <w:rPr>
          <w:rStyle w:val="FontStyle27"/>
        </w:rPr>
        <w:t xml:space="preserve"> § </w:t>
      </w:r>
      <w:r w:rsidR="00EA6671">
        <w:rPr>
          <w:rStyle w:val="FontStyle27"/>
        </w:rPr>
        <w:t xml:space="preserve">4 </w:t>
      </w:r>
      <w:r w:rsidR="002C6A0D">
        <w:rPr>
          <w:rStyle w:val="FontStyle27"/>
        </w:rPr>
        <w:t xml:space="preserve">projektu </w:t>
      </w:r>
      <w:r w:rsidR="0025440F">
        <w:rPr>
          <w:rStyle w:val="FontStyle27"/>
        </w:rPr>
        <w:t xml:space="preserve">wskazano rodzaje pomocy </w:t>
      </w:r>
      <w:r w:rsidR="00263F24">
        <w:rPr>
          <w:rStyle w:val="FontStyle27"/>
        </w:rPr>
        <w:t>finansowej</w:t>
      </w:r>
      <w:r w:rsidR="0025440F">
        <w:rPr>
          <w:rStyle w:val="FontStyle27"/>
        </w:rPr>
        <w:t>, które mogą być udzielane</w:t>
      </w:r>
      <w:r w:rsidR="00F62689">
        <w:rPr>
          <w:rStyle w:val="FontStyle27"/>
        </w:rPr>
        <w:t xml:space="preserve"> oraz progi, do których pomoc może być traktowana jako </w:t>
      </w:r>
      <w:r w:rsidR="00263F24">
        <w:rPr>
          <w:rStyle w:val="FontStyle27"/>
        </w:rPr>
        <w:t xml:space="preserve">pomoc </w:t>
      </w:r>
      <w:r w:rsidR="00F62689">
        <w:rPr>
          <w:rStyle w:val="FontStyle27"/>
        </w:rPr>
        <w:t>de minimis</w:t>
      </w:r>
      <w:r w:rsidR="00F5188F">
        <w:rPr>
          <w:rStyle w:val="FontStyle27"/>
        </w:rPr>
        <w:t>.</w:t>
      </w:r>
      <w:r w:rsidR="00BD4E31">
        <w:rPr>
          <w:rStyle w:val="FontStyle27"/>
        </w:rPr>
        <w:t xml:space="preserve"> </w:t>
      </w:r>
      <w:r w:rsidR="00E666A6">
        <w:rPr>
          <w:rStyle w:val="FontStyle27"/>
        </w:rPr>
        <w:t>Określono także, które wydatki mogą być finansowane w ramach każdego rodzaju pomocy.</w:t>
      </w:r>
    </w:p>
    <w:p w:rsidR="001F666D" w:rsidRDefault="00F62689" w:rsidP="003A3B27">
      <w:pPr>
        <w:pStyle w:val="Style18"/>
        <w:widowControl/>
        <w:numPr>
          <w:ilvl w:val="0"/>
          <w:numId w:val="10"/>
        </w:numPr>
        <w:spacing w:before="120"/>
        <w:rPr>
          <w:rStyle w:val="FontStyle27"/>
        </w:rPr>
      </w:pPr>
      <w:r>
        <w:rPr>
          <w:rStyle w:val="FontStyle27"/>
        </w:rPr>
        <w:t>w</w:t>
      </w:r>
      <w:r w:rsidR="00A05D78">
        <w:rPr>
          <w:rStyle w:val="FontStyle27"/>
        </w:rPr>
        <w:t xml:space="preserve"> § </w:t>
      </w:r>
      <w:r w:rsidR="00EA6671">
        <w:rPr>
          <w:rStyle w:val="FontStyle27"/>
        </w:rPr>
        <w:t xml:space="preserve">5 </w:t>
      </w:r>
      <w:r>
        <w:rPr>
          <w:rStyle w:val="FontStyle27"/>
        </w:rPr>
        <w:t>projektu wskazano</w:t>
      </w:r>
      <w:r w:rsidR="00BD4E31">
        <w:rPr>
          <w:rStyle w:val="FontStyle27"/>
        </w:rPr>
        <w:t xml:space="preserve"> na przypadki kiedy wsparcie</w:t>
      </w:r>
      <w:r w:rsidR="00AD098A">
        <w:rPr>
          <w:rStyle w:val="FontStyle27"/>
        </w:rPr>
        <w:t xml:space="preserve"> nie</w:t>
      </w:r>
      <w:r w:rsidR="00BD4E31">
        <w:rPr>
          <w:rStyle w:val="FontStyle27"/>
        </w:rPr>
        <w:t xml:space="preserve"> może zostać</w:t>
      </w:r>
      <w:r w:rsidR="00AD098A">
        <w:rPr>
          <w:rStyle w:val="FontStyle27"/>
        </w:rPr>
        <w:t xml:space="preserve"> udziel</w:t>
      </w:r>
      <w:r w:rsidR="00BD4E31">
        <w:rPr>
          <w:rStyle w:val="FontStyle27"/>
        </w:rPr>
        <w:t>one</w:t>
      </w:r>
      <w:r>
        <w:rPr>
          <w:rStyle w:val="FontStyle27"/>
        </w:rPr>
        <w:t>;</w:t>
      </w:r>
      <w:r w:rsidR="008760BD">
        <w:rPr>
          <w:rStyle w:val="FontStyle27"/>
        </w:rPr>
        <w:t xml:space="preserve"> </w:t>
      </w:r>
    </w:p>
    <w:p w:rsidR="003A3B27" w:rsidRDefault="001F666D" w:rsidP="004D2B58">
      <w:pPr>
        <w:pStyle w:val="Style18"/>
        <w:widowControl/>
        <w:numPr>
          <w:ilvl w:val="0"/>
          <w:numId w:val="10"/>
        </w:numPr>
        <w:spacing w:before="120"/>
        <w:rPr>
          <w:rStyle w:val="FontStyle27"/>
        </w:rPr>
      </w:pPr>
      <w:r>
        <w:rPr>
          <w:rStyle w:val="FontStyle27"/>
        </w:rPr>
        <w:t xml:space="preserve">w § </w:t>
      </w:r>
      <w:r w:rsidR="00EA6671">
        <w:rPr>
          <w:rStyle w:val="FontStyle27"/>
        </w:rPr>
        <w:t xml:space="preserve">6 </w:t>
      </w:r>
      <w:r>
        <w:rPr>
          <w:rStyle w:val="FontStyle27"/>
        </w:rPr>
        <w:t>projektu wskazano</w:t>
      </w:r>
      <w:r w:rsidR="00121354">
        <w:rPr>
          <w:rStyle w:val="FontStyle27"/>
        </w:rPr>
        <w:t>, poprzez odesłanie do POPC i SZOP,</w:t>
      </w:r>
      <w:r>
        <w:rPr>
          <w:rStyle w:val="FontStyle27"/>
        </w:rPr>
        <w:t xml:space="preserve"> rodzaje podmiotów, które mogą ubiegać się o dofinansowanie</w:t>
      </w:r>
      <w:r w:rsidR="004D2B58">
        <w:rPr>
          <w:rStyle w:val="FontStyle27"/>
        </w:rPr>
        <w:t>.</w:t>
      </w:r>
      <w:r w:rsidR="00E666A6">
        <w:t xml:space="preserve"> </w:t>
      </w:r>
      <w:r w:rsidR="00121354">
        <w:t>Oparto się na założeniu, że wszystkie podmioty realizujące projekty, będą posiadały co do zasady, w kontekście prawa UE dotyczącego pomocy publicznej, status przedsiębiorcy</w:t>
      </w:r>
      <w:r w:rsidR="00C24FC7">
        <w:t>;</w:t>
      </w:r>
    </w:p>
    <w:p w:rsidR="00A05D78" w:rsidRDefault="00A05D78" w:rsidP="003A539B">
      <w:pPr>
        <w:pStyle w:val="Style18"/>
        <w:widowControl/>
        <w:numPr>
          <w:ilvl w:val="0"/>
          <w:numId w:val="10"/>
        </w:numPr>
        <w:spacing w:before="120"/>
        <w:rPr>
          <w:rStyle w:val="FontStyle27"/>
        </w:rPr>
      </w:pPr>
      <w:r>
        <w:rPr>
          <w:rStyle w:val="FontStyle27"/>
        </w:rPr>
        <w:t xml:space="preserve">w § </w:t>
      </w:r>
      <w:r w:rsidR="00EA6671">
        <w:rPr>
          <w:rStyle w:val="FontStyle27"/>
        </w:rPr>
        <w:t xml:space="preserve">7 </w:t>
      </w:r>
      <w:r>
        <w:rPr>
          <w:rStyle w:val="FontStyle27"/>
        </w:rPr>
        <w:t>projektu wskazano warunki przyznania pomocy na projekty</w:t>
      </w:r>
      <w:r w:rsidR="00AD098A">
        <w:rPr>
          <w:rStyle w:val="FontStyle27"/>
        </w:rPr>
        <w:t xml:space="preserve"> oraz</w:t>
      </w:r>
      <w:r>
        <w:rPr>
          <w:rStyle w:val="FontStyle27"/>
        </w:rPr>
        <w:t xml:space="preserve"> określono warunki, jakie powinien speł</w:t>
      </w:r>
      <w:r w:rsidR="008760BD">
        <w:rPr>
          <w:rStyle w:val="FontStyle27"/>
        </w:rPr>
        <w:t>niać wnioskodawca.</w:t>
      </w:r>
      <w:r w:rsidR="004721CF">
        <w:rPr>
          <w:rStyle w:val="FontStyle27"/>
        </w:rPr>
        <w:t xml:space="preserve"> </w:t>
      </w:r>
      <w:r w:rsidR="004721CF" w:rsidRPr="003A539B">
        <w:rPr>
          <w:rStyle w:val="FontStyle27"/>
        </w:rPr>
        <w:t>Wsparcie jest kierowane do przedsiębiorców działających w całej U</w:t>
      </w:r>
      <w:r w:rsidR="00AD098A">
        <w:rPr>
          <w:rStyle w:val="FontStyle27"/>
        </w:rPr>
        <w:t xml:space="preserve">nii </w:t>
      </w:r>
      <w:r w:rsidR="004721CF" w:rsidRPr="003A539B">
        <w:rPr>
          <w:rStyle w:val="FontStyle27"/>
        </w:rPr>
        <w:t>E</w:t>
      </w:r>
      <w:r w:rsidR="00AD098A">
        <w:rPr>
          <w:rStyle w:val="FontStyle27"/>
        </w:rPr>
        <w:t>uropejskiej</w:t>
      </w:r>
      <w:r w:rsidR="004721CF" w:rsidRPr="003A539B">
        <w:rPr>
          <w:rStyle w:val="FontStyle27"/>
        </w:rPr>
        <w:t xml:space="preserve"> (zgodnie z zasadą swobody przedsiębiorczości wynikającą z art. 43 i 44 Traktatu o funkcjonowaniu U</w:t>
      </w:r>
      <w:r w:rsidR="00AD098A">
        <w:rPr>
          <w:rStyle w:val="FontStyle27"/>
        </w:rPr>
        <w:t xml:space="preserve">nii </w:t>
      </w:r>
      <w:r w:rsidR="004721CF" w:rsidRPr="003A539B">
        <w:rPr>
          <w:rStyle w:val="FontStyle27"/>
        </w:rPr>
        <w:t>E</w:t>
      </w:r>
      <w:r w:rsidR="00AD098A">
        <w:rPr>
          <w:rStyle w:val="FontStyle27"/>
        </w:rPr>
        <w:t>uropejskiej</w:t>
      </w:r>
      <w:r w:rsidR="004721CF" w:rsidRPr="003A539B">
        <w:rPr>
          <w:rStyle w:val="FontStyle27"/>
        </w:rPr>
        <w:t>)</w:t>
      </w:r>
      <w:r w:rsidR="00AD098A">
        <w:rPr>
          <w:rStyle w:val="FontStyle27"/>
        </w:rPr>
        <w:t>,</w:t>
      </w:r>
      <w:r w:rsidR="004721CF" w:rsidRPr="003A539B">
        <w:rPr>
          <w:rStyle w:val="FontStyle27"/>
        </w:rPr>
        <w:t xml:space="preserve"> z zastrzeżeniem prowadzenia działalności w zorganizowanej formie (por. art. 1 ust. 5 lit. a rozporządzenia Komisji (UE) nr 651/2014) oraz lokalizacji projektu na terenie R</w:t>
      </w:r>
      <w:r w:rsidR="00057D1C">
        <w:rPr>
          <w:rStyle w:val="FontStyle27"/>
        </w:rPr>
        <w:t xml:space="preserve">zeczypospolitej </w:t>
      </w:r>
      <w:r w:rsidR="004721CF" w:rsidRPr="003A539B">
        <w:rPr>
          <w:rStyle w:val="FontStyle27"/>
        </w:rPr>
        <w:t>P</w:t>
      </w:r>
      <w:r w:rsidR="00057D1C">
        <w:rPr>
          <w:rStyle w:val="FontStyle27"/>
        </w:rPr>
        <w:t>olskiej</w:t>
      </w:r>
      <w:r w:rsidR="004721CF" w:rsidRPr="003A539B">
        <w:rPr>
          <w:rStyle w:val="FontStyle27"/>
        </w:rPr>
        <w:t xml:space="preserve">. </w:t>
      </w:r>
      <w:r w:rsidR="00656527">
        <w:rPr>
          <w:rStyle w:val="FontStyle27"/>
        </w:rPr>
        <w:t>K</w:t>
      </w:r>
      <w:r w:rsidR="004721CF" w:rsidRPr="003A539B">
        <w:rPr>
          <w:rStyle w:val="FontStyle27"/>
        </w:rPr>
        <w:t>onieczność spełnienia efektu zachęty</w:t>
      </w:r>
      <w:r w:rsidR="003A539B">
        <w:rPr>
          <w:rStyle w:val="FontStyle27"/>
        </w:rPr>
        <w:t xml:space="preserve"> (por. a</w:t>
      </w:r>
      <w:r w:rsidR="003A539B" w:rsidRPr="003A539B">
        <w:rPr>
          <w:rStyle w:val="FontStyle27"/>
        </w:rPr>
        <w:t>rt. 6 rozporządzenia Komisji (UE) nr 651/2014</w:t>
      </w:r>
      <w:r w:rsidR="003A539B">
        <w:rPr>
          <w:rStyle w:val="FontStyle27"/>
        </w:rPr>
        <w:t>)</w:t>
      </w:r>
      <w:r w:rsidR="004721CF" w:rsidRPr="003A539B">
        <w:rPr>
          <w:rStyle w:val="FontStyle27"/>
        </w:rPr>
        <w:t xml:space="preserve"> </w:t>
      </w:r>
      <w:r w:rsidR="00656527">
        <w:rPr>
          <w:rStyle w:val="FontStyle27"/>
        </w:rPr>
        <w:t>ograniczono jedynie do</w:t>
      </w:r>
      <w:r w:rsidR="004721CF" w:rsidRPr="003A539B">
        <w:rPr>
          <w:rStyle w:val="FontStyle27"/>
        </w:rPr>
        <w:t xml:space="preserve"> beneficjentów korzystających z pomocy </w:t>
      </w:r>
      <w:r w:rsidR="00656527">
        <w:rPr>
          <w:rStyle w:val="FontStyle27"/>
        </w:rPr>
        <w:t>szkoleniowej. Umożliwi to elastyczniejsze wydatkowanie środków</w:t>
      </w:r>
      <w:r w:rsidR="00057D1C">
        <w:rPr>
          <w:rStyle w:val="FontStyle27"/>
        </w:rPr>
        <w:t>;</w:t>
      </w:r>
    </w:p>
    <w:p w:rsidR="00A05D78" w:rsidRDefault="00A05D78" w:rsidP="003A539B">
      <w:pPr>
        <w:pStyle w:val="Style18"/>
        <w:widowControl/>
        <w:numPr>
          <w:ilvl w:val="0"/>
          <w:numId w:val="10"/>
        </w:numPr>
        <w:spacing w:before="120"/>
        <w:rPr>
          <w:rStyle w:val="FontStyle27"/>
        </w:rPr>
      </w:pPr>
      <w:r>
        <w:rPr>
          <w:rStyle w:val="FontStyle27"/>
        </w:rPr>
        <w:t xml:space="preserve">w § </w:t>
      </w:r>
      <w:r w:rsidR="00EA6671">
        <w:rPr>
          <w:rStyle w:val="FontStyle27"/>
        </w:rPr>
        <w:t xml:space="preserve">8 </w:t>
      </w:r>
      <w:r>
        <w:rPr>
          <w:rStyle w:val="FontStyle27"/>
        </w:rPr>
        <w:t>projektu wskazano zasady sumowania pomocy z innymi rodzajami pomocy oraz sposób ich przeliczania na pol</w:t>
      </w:r>
      <w:r w:rsidR="00C04890">
        <w:rPr>
          <w:rStyle w:val="FontStyle27"/>
        </w:rPr>
        <w:t>ską walutę;</w:t>
      </w:r>
    </w:p>
    <w:p w:rsidR="00B40B6C" w:rsidRPr="00764FC0" w:rsidRDefault="00C04890" w:rsidP="00DF21A2">
      <w:pPr>
        <w:pStyle w:val="Style18"/>
        <w:widowControl/>
        <w:numPr>
          <w:ilvl w:val="0"/>
          <w:numId w:val="10"/>
        </w:numPr>
        <w:spacing w:before="120"/>
        <w:rPr>
          <w:rStyle w:val="FontStyle27"/>
        </w:rPr>
      </w:pPr>
      <w:r>
        <w:rPr>
          <w:rStyle w:val="FontStyle27"/>
        </w:rPr>
        <w:t xml:space="preserve">w § </w:t>
      </w:r>
      <w:r w:rsidR="00EA6671">
        <w:rPr>
          <w:rStyle w:val="FontStyle27"/>
        </w:rPr>
        <w:t xml:space="preserve">9 </w:t>
      </w:r>
      <w:r>
        <w:rPr>
          <w:rStyle w:val="FontStyle27"/>
        </w:rPr>
        <w:t>projektu wskazano wydatki kwalifikujące się do objęcia wsparciem.</w:t>
      </w:r>
      <w:r w:rsidR="00B40B6C">
        <w:rPr>
          <w:rStyle w:val="FontStyle27"/>
        </w:rPr>
        <w:t xml:space="preserve"> </w:t>
      </w:r>
      <w:r w:rsidR="00B40B6C" w:rsidRPr="00DF21A2">
        <w:rPr>
          <w:rStyle w:val="FontStyle27"/>
        </w:rPr>
        <w:t>Kierowano się przy tym charakterem realizowanych projektów.</w:t>
      </w:r>
      <w:r w:rsidR="00656527">
        <w:rPr>
          <w:rStyle w:val="FontStyle27"/>
        </w:rPr>
        <w:t xml:space="preserve"> W odniesieniu do wszystkich typów wydatków obowiązują ogólne warunki kwalifikowalności wynikające z ust. 1 (niezbędność, bezpośredni i wyłączny związek z projektem itd.). Konkretne typy wydatków, które, po spełnieniu warunków ogólnych, mogą zostać dofinansowane wskazano w ust. 2</w:t>
      </w:r>
      <w:r w:rsidR="00057D1C">
        <w:rPr>
          <w:rStyle w:val="FontStyle27"/>
        </w:rPr>
        <w:t>;</w:t>
      </w:r>
    </w:p>
    <w:p w:rsidR="003C2007" w:rsidRDefault="003C2007" w:rsidP="004C3912">
      <w:pPr>
        <w:pStyle w:val="Style18"/>
        <w:widowControl/>
        <w:numPr>
          <w:ilvl w:val="0"/>
          <w:numId w:val="10"/>
        </w:numPr>
        <w:spacing w:before="120"/>
        <w:rPr>
          <w:rStyle w:val="FontStyle27"/>
        </w:rPr>
      </w:pPr>
      <w:r>
        <w:rPr>
          <w:rStyle w:val="FontStyle27"/>
        </w:rPr>
        <w:t xml:space="preserve">w § </w:t>
      </w:r>
      <w:r w:rsidR="00EA6671">
        <w:rPr>
          <w:rStyle w:val="FontStyle27"/>
        </w:rPr>
        <w:t xml:space="preserve">10 </w:t>
      </w:r>
      <w:r>
        <w:rPr>
          <w:rStyle w:val="FontStyle27"/>
        </w:rPr>
        <w:t xml:space="preserve">projektu </w:t>
      </w:r>
      <w:r w:rsidR="00BF46FD">
        <w:rPr>
          <w:rStyle w:val="FontStyle27"/>
        </w:rPr>
        <w:t>wprowadzono zasadę ponoszenia wydatków w okresie realizacji projektu, z zastrzeżeniem możliwości dofinansowania wydatków na przygotowanie projektu poniesionych w okresie poprzedzającym złożenie wniosku o dofinansowanie</w:t>
      </w:r>
      <w:r w:rsidR="004C3912">
        <w:rPr>
          <w:rStyle w:val="FontStyle27"/>
        </w:rPr>
        <w:t xml:space="preserve"> (zgodnie z z </w:t>
      </w:r>
      <w:r w:rsidR="004C3912" w:rsidRPr="004C3912">
        <w:rPr>
          <w:rStyle w:val="FontStyle27"/>
        </w:rPr>
        <w:t>§ 9 ust. 2 pkt 4 lit. a</w:t>
      </w:r>
      <w:r w:rsidR="004C3912">
        <w:rPr>
          <w:rStyle w:val="FontStyle27"/>
        </w:rPr>
        <w:t xml:space="preserve"> projektu)</w:t>
      </w:r>
      <w:r w:rsidR="00AF147D">
        <w:rPr>
          <w:rStyle w:val="FontStyle27"/>
        </w:rPr>
        <w:t>;</w:t>
      </w:r>
    </w:p>
    <w:p w:rsidR="00B40B6C" w:rsidRPr="00764FC0" w:rsidRDefault="00C04890" w:rsidP="00764FC0">
      <w:pPr>
        <w:pStyle w:val="Style18"/>
        <w:widowControl/>
        <w:numPr>
          <w:ilvl w:val="0"/>
          <w:numId w:val="10"/>
        </w:numPr>
        <w:spacing w:before="120"/>
        <w:rPr>
          <w:rStyle w:val="FontStyle27"/>
        </w:rPr>
      </w:pPr>
      <w:r>
        <w:rPr>
          <w:rStyle w:val="FontStyle27"/>
        </w:rPr>
        <w:t xml:space="preserve">w § </w:t>
      </w:r>
      <w:r w:rsidR="00EA6671">
        <w:rPr>
          <w:rStyle w:val="FontStyle27"/>
        </w:rPr>
        <w:t xml:space="preserve">11 </w:t>
      </w:r>
      <w:r>
        <w:rPr>
          <w:rStyle w:val="FontStyle27"/>
        </w:rPr>
        <w:t>projektu wskazano sposób przeliczania wydatków poniesionych przez beneficjenta w walucie obcej.</w:t>
      </w:r>
      <w:r w:rsidR="00B40B6C">
        <w:rPr>
          <w:rStyle w:val="FontStyle27"/>
        </w:rPr>
        <w:t xml:space="preserve"> </w:t>
      </w:r>
      <w:r w:rsidR="00B40B6C" w:rsidRPr="00764FC0">
        <w:rPr>
          <w:rStyle w:val="FontStyle27"/>
        </w:rPr>
        <w:t xml:space="preserve">Dla wydatków ponoszonych w walutach obcych, przy wykorzystaniu środków przechowywanych przez beneficjenta na rachunku złotowym, przyjęto zasadę rzeczywistego kursu przeliczenia zastosowanego dla danej operacji przez bank. Ułatwi to realizację projektów przez </w:t>
      </w:r>
      <w:r w:rsidR="004C3912">
        <w:rPr>
          <w:rStyle w:val="FontStyle27"/>
        </w:rPr>
        <w:t>beneficjentów, którzy nie</w:t>
      </w:r>
      <w:r w:rsidR="00B40B6C" w:rsidRPr="00764FC0">
        <w:rPr>
          <w:rStyle w:val="FontStyle27"/>
        </w:rPr>
        <w:t xml:space="preserve"> dysponują rachunkami w walutach obcych. Jednocześnie zasada ta dotyczy jedynie operacji prowadzonych przez banki, co uniemożliwi manipulacje kursem w celu wyłudzenia środków w wyższej, nienależnej wysokości. W przypadku poniesienia przez beneficjenta wydatków w walucie obcej z posiadanych wcześniej środków kurs, za pomocą którego określona zostanie wysokość wsparcia, będzie ustalany w relacji do odnośnego kursu NBP z chwili dokonania płatności przez właściwą instytucją na rzecz beneficjenta. Ułatwi to właściwej instytucji obliczenie wysokości dofinansowania i uniemożliwi manipulacje kursem</w:t>
      </w:r>
      <w:r w:rsidR="00057D1C">
        <w:rPr>
          <w:rStyle w:val="FontStyle27"/>
        </w:rPr>
        <w:t>;</w:t>
      </w:r>
    </w:p>
    <w:p w:rsidR="00C04890" w:rsidRDefault="00C04890" w:rsidP="00764FC0">
      <w:pPr>
        <w:pStyle w:val="Style18"/>
        <w:widowControl/>
        <w:numPr>
          <w:ilvl w:val="0"/>
          <w:numId w:val="10"/>
        </w:numPr>
        <w:spacing w:before="120"/>
        <w:rPr>
          <w:rStyle w:val="FontStyle27"/>
        </w:rPr>
      </w:pPr>
      <w:r>
        <w:rPr>
          <w:rStyle w:val="FontStyle27"/>
        </w:rPr>
        <w:lastRenderedPageBreak/>
        <w:t xml:space="preserve">w § </w:t>
      </w:r>
      <w:r w:rsidR="00EA6671">
        <w:rPr>
          <w:rStyle w:val="FontStyle27"/>
        </w:rPr>
        <w:t xml:space="preserve">12 </w:t>
      </w:r>
      <w:r>
        <w:rPr>
          <w:rStyle w:val="FontStyle27"/>
        </w:rPr>
        <w:t>projektu wskazano na poziom intensywności wsparcia, który może być przyjęty w ramach poszczególnych rodzajów pomocy</w:t>
      </w:r>
      <w:r w:rsidR="004C3912">
        <w:rPr>
          <w:rStyle w:val="FontStyle27"/>
        </w:rPr>
        <w:t xml:space="preserve"> przewidzianych w projekcie</w:t>
      </w:r>
      <w:r w:rsidR="003C2007">
        <w:rPr>
          <w:rStyle w:val="FontStyle27"/>
        </w:rPr>
        <w:t>;</w:t>
      </w:r>
    </w:p>
    <w:p w:rsidR="00C04890" w:rsidRDefault="00C04890" w:rsidP="00764FC0">
      <w:pPr>
        <w:pStyle w:val="Style18"/>
        <w:widowControl/>
        <w:numPr>
          <w:ilvl w:val="0"/>
          <w:numId w:val="10"/>
        </w:numPr>
        <w:spacing w:before="120"/>
        <w:rPr>
          <w:rStyle w:val="FontStyle27"/>
        </w:rPr>
      </w:pPr>
      <w:r>
        <w:rPr>
          <w:rStyle w:val="FontStyle27"/>
        </w:rPr>
        <w:t xml:space="preserve">w § </w:t>
      </w:r>
      <w:r w:rsidR="00EA6671">
        <w:rPr>
          <w:rStyle w:val="FontStyle27"/>
        </w:rPr>
        <w:t>1</w:t>
      </w:r>
      <w:r w:rsidR="004C3912">
        <w:rPr>
          <w:rStyle w:val="FontStyle27"/>
        </w:rPr>
        <w:t>3</w:t>
      </w:r>
      <w:r w:rsidR="00EA6671">
        <w:rPr>
          <w:rStyle w:val="FontStyle27"/>
        </w:rPr>
        <w:t xml:space="preserve"> </w:t>
      </w:r>
      <w:r>
        <w:rPr>
          <w:rStyle w:val="FontStyle27"/>
        </w:rPr>
        <w:t xml:space="preserve">projektu </w:t>
      </w:r>
      <w:r w:rsidR="00F053AD" w:rsidRPr="00764FC0">
        <w:rPr>
          <w:rStyle w:val="FontStyle27"/>
        </w:rPr>
        <w:t>uregulowano sytuacj</w:t>
      </w:r>
      <w:r w:rsidR="004C3912">
        <w:rPr>
          <w:rStyle w:val="FontStyle27"/>
        </w:rPr>
        <w:t>ę</w:t>
      </w:r>
      <w:r w:rsidR="00F053AD" w:rsidRPr="00764FC0">
        <w:rPr>
          <w:rStyle w:val="FontStyle27"/>
        </w:rPr>
        <w:t>, w któr</w:t>
      </w:r>
      <w:r w:rsidR="004C3912">
        <w:rPr>
          <w:rStyle w:val="FontStyle27"/>
        </w:rPr>
        <w:t>ej</w:t>
      </w:r>
      <w:r w:rsidR="00F053AD" w:rsidRPr="00764FC0">
        <w:rPr>
          <w:rStyle w:val="FontStyle27"/>
        </w:rPr>
        <w:t xml:space="preserve"> wartość wsparcia powoduje konieczność notyfikowania pomocy </w:t>
      </w:r>
      <w:r w:rsidR="004C3912">
        <w:rPr>
          <w:rStyle w:val="FontStyle27"/>
        </w:rPr>
        <w:t xml:space="preserve">szkoleniowej </w:t>
      </w:r>
      <w:r w:rsidR="00F053AD" w:rsidRPr="00764FC0">
        <w:rPr>
          <w:rStyle w:val="FontStyle27"/>
        </w:rPr>
        <w:t xml:space="preserve">przyznanej na </w:t>
      </w:r>
      <w:r w:rsidR="004C3912">
        <w:rPr>
          <w:rStyle w:val="FontStyle27"/>
        </w:rPr>
        <w:t>dane przedsięwzięcie</w:t>
      </w:r>
      <w:r w:rsidR="003C2007">
        <w:rPr>
          <w:rStyle w:val="FontStyle27"/>
        </w:rPr>
        <w:t>;</w:t>
      </w:r>
    </w:p>
    <w:p w:rsidR="00F053AD" w:rsidRPr="00764FC0" w:rsidRDefault="00F053AD" w:rsidP="00764FC0">
      <w:pPr>
        <w:pStyle w:val="Style18"/>
        <w:widowControl/>
        <w:numPr>
          <w:ilvl w:val="0"/>
          <w:numId w:val="10"/>
        </w:numPr>
        <w:spacing w:before="120"/>
        <w:rPr>
          <w:rStyle w:val="FontStyle27"/>
        </w:rPr>
      </w:pPr>
      <w:r>
        <w:rPr>
          <w:rStyle w:val="FontStyle27"/>
        </w:rPr>
        <w:t xml:space="preserve">w § </w:t>
      </w:r>
      <w:r w:rsidR="00EA6671">
        <w:rPr>
          <w:rStyle w:val="FontStyle27"/>
        </w:rPr>
        <w:t>1</w:t>
      </w:r>
      <w:r w:rsidR="00E9486C">
        <w:rPr>
          <w:rStyle w:val="FontStyle27"/>
        </w:rPr>
        <w:t>4</w:t>
      </w:r>
      <w:r w:rsidR="00EA6671">
        <w:rPr>
          <w:rStyle w:val="FontStyle27"/>
        </w:rPr>
        <w:t xml:space="preserve"> </w:t>
      </w:r>
      <w:r w:rsidR="00B52AAB">
        <w:rPr>
          <w:rStyle w:val="FontStyle27"/>
        </w:rPr>
        <w:t xml:space="preserve">projektu </w:t>
      </w:r>
      <w:r>
        <w:rPr>
          <w:rStyle w:val="FontStyle27"/>
        </w:rPr>
        <w:t xml:space="preserve">wskazano </w:t>
      </w:r>
      <w:r w:rsidR="003C2007">
        <w:rPr>
          <w:rStyle w:val="FontStyle27"/>
        </w:rPr>
        <w:t>termin, do którego może być udzielone wsparcie</w:t>
      </w:r>
      <w:r w:rsidRPr="00764FC0">
        <w:rPr>
          <w:rStyle w:val="FontStyle27"/>
        </w:rPr>
        <w:t xml:space="preserve">. </w:t>
      </w:r>
      <w:r w:rsidR="003C2007">
        <w:rPr>
          <w:rStyle w:val="FontStyle27"/>
        </w:rPr>
        <w:t>Termin</w:t>
      </w:r>
      <w:r w:rsidRPr="00764FC0">
        <w:rPr>
          <w:rStyle w:val="FontStyle27"/>
        </w:rPr>
        <w:t xml:space="preserve"> ten nie jest jednolity ze względu na zróżnicowanie podstaw prawnych wynikających z prawa U</w:t>
      </w:r>
      <w:r w:rsidR="003C2007">
        <w:rPr>
          <w:rStyle w:val="FontStyle27"/>
        </w:rPr>
        <w:t xml:space="preserve">nii </w:t>
      </w:r>
      <w:r w:rsidRPr="00764FC0">
        <w:rPr>
          <w:rStyle w:val="FontStyle27"/>
        </w:rPr>
        <w:t>E</w:t>
      </w:r>
      <w:r w:rsidR="003C2007">
        <w:rPr>
          <w:rStyle w:val="FontStyle27"/>
        </w:rPr>
        <w:t>uropejskiej</w:t>
      </w:r>
      <w:r w:rsidRPr="00764FC0">
        <w:rPr>
          <w:rStyle w:val="FontStyle27"/>
        </w:rPr>
        <w:t xml:space="preserve">. </w:t>
      </w:r>
      <w:r w:rsidR="003C2007">
        <w:rPr>
          <w:rStyle w:val="FontStyle27"/>
        </w:rPr>
        <w:t>Termin</w:t>
      </w:r>
      <w:r w:rsidRPr="00764FC0">
        <w:rPr>
          <w:rStyle w:val="FontStyle27"/>
        </w:rPr>
        <w:t xml:space="preserve"> ten wynika z rozporządzenia Komisji (UE) nr 1407/2013 (por. art. 7 ust. 4), rozporządzenia Komisji (UE) nr 651/2014 (por. art. 58 ust. 4 zd</w:t>
      </w:r>
      <w:r w:rsidR="003C2007">
        <w:rPr>
          <w:rStyle w:val="FontStyle27"/>
        </w:rPr>
        <w:t>anie</w:t>
      </w:r>
      <w:r w:rsidRPr="00764FC0">
        <w:rPr>
          <w:rStyle w:val="FontStyle27"/>
        </w:rPr>
        <w:t xml:space="preserve"> </w:t>
      </w:r>
      <w:r w:rsidR="003C2007">
        <w:rPr>
          <w:rStyle w:val="FontStyle27"/>
        </w:rPr>
        <w:t>drugie</w:t>
      </w:r>
      <w:r w:rsidRPr="00764FC0">
        <w:rPr>
          <w:rStyle w:val="FontStyle27"/>
        </w:rPr>
        <w:t xml:space="preserve">). Ustalenie </w:t>
      </w:r>
      <w:r w:rsidR="003C2007">
        <w:rPr>
          <w:rStyle w:val="FontStyle27"/>
        </w:rPr>
        <w:t>graniczny</w:t>
      </w:r>
      <w:r w:rsidR="00245183">
        <w:rPr>
          <w:rStyle w:val="FontStyle27"/>
        </w:rPr>
        <w:t>ch</w:t>
      </w:r>
      <w:r w:rsidR="003C2007">
        <w:rPr>
          <w:rStyle w:val="FontStyle27"/>
        </w:rPr>
        <w:t xml:space="preserve"> terminów</w:t>
      </w:r>
      <w:r w:rsidRPr="00764FC0">
        <w:rPr>
          <w:rStyle w:val="FontStyle27"/>
        </w:rPr>
        <w:t xml:space="preserve">, w których może być udzielana pomoc, zostało powiązane z okresami wynikającymi z ww. aktów ze względu na możliwość ich zmiany w końcowej fazie wdrażania </w:t>
      </w:r>
      <w:r w:rsidR="003C2007">
        <w:t xml:space="preserve">Programu Operacyjnego Polska Cyfrowa </w:t>
      </w:r>
      <w:r w:rsidR="003C2007">
        <w:rPr>
          <w:rStyle w:val="FontStyle27"/>
        </w:rPr>
        <w:t>na lata 2014 –</w:t>
      </w:r>
      <w:r w:rsidR="003C2007" w:rsidRPr="003D6A34">
        <w:rPr>
          <w:rStyle w:val="FontStyle27"/>
        </w:rPr>
        <w:t xml:space="preserve"> 2020</w:t>
      </w:r>
      <w:r w:rsidRPr="00764FC0">
        <w:rPr>
          <w:rStyle w:val="FontStyle27"/>
        </w:rPr>
        <w:t xml:space="preserve">. Wprowadzone powiązanie umożliwi płynne kontynuowanie wdrażania w 2020 r. w razie przedłużenia </w:t>
      </w:r>
      <w:r w:rsidR="003C2007">
        <w:rPr>
          <w:rStyle w:val="FontStyle27"/>
        </w:rPr>
        <w:t xml:space="preserve">ww. terminów </w:t>
      </w:r>
      <w:r w:rsidRPr="00764FC0">
        <w:rPr>
          <w:rStyle w:val="FontStyle27"/>
        </w:rPr>
        <w:t>bez potrzeby nowelizacji rozporządzenia</w:t>
      </w:r>
      <w:r w:rsidR="003C2007">
        <w:rPr>
          <w:rStyle w:val="FontStyle27"/>
        </w:rPr>
        <w:t>;</w:t>
      </w:r>
    </w:p>
    <w:p w:rsidR="004522F5" w:rsidRPr="00764FC0" w:rsidRDefault="004522F5" w:rsidP="00764FC0">
      <w:pPr>
        <w:pStyle w:val="Style18"/>
        <w:widowControl/>
        <w:numPr>
          <w:ilvl w:val="0"/>
          <w:numId w:val="10"/>
        </w:numPr>
        <w:spacing w:before="120"/>
        <w:rPr>
          <w:rStyle w:val="FontStyle27"/>
        </w:rPr>
      </w:pPr>
      <w:r>
        <w:rPr>
          <w:rStyle w:val="FontStyle27"/>
        </w:rPr>
        <w:t xml:space="preserve">w § </w:t>
      </w:r>
      <w:r w:rsidR="00EA6671">
        <w:rPr>
          <w:rStyle w:val="FontStyle27"/>
        </w:rPr>
        <w:t>1</w:t>
      </w:r>
      <w:r w:rsidR="00E9486C">
        <w:rPr>
          <w:rStyle w:val="FontStyle27"/>
        </w:rPr>
        <w:t>5</w:t>
      </w:r>
      <w:r w:rsidR="00EA6671">
        <w:rPr>
          <w:rStyle w:val="FontStyle27"/>
        </w:rPr>
        <w:t xml:space="preserve"> </w:t>
      </w:r>
      <w:r>
        <w:rPr>
          <w:rStyle w:val="FontStyle27"/>
        </w:rPr>
        <w:t>projektu wskazano termin wejścia w życie rozporządzenia.</w:t>
      </w:r>
      <w:r w:rsidR="00F053AD">
        <w:rPr>
          <w:rStyle w:val="FontStyle27"/>
        </w:rPr>
        <w:t xml:space="preserve"> </w:t>
      </w:r>
      <w:r w:rsidRPr="00764FC0">
        <w:rPr>
          <w:rStyle w:val="FontStyle27"/>
        </w:rPr>
        <w:t>W przedmiotowym przypadku, ze względu na potrzebę szybkiego uruchomienia wdrażania działa</w:t>
      </w:r>
      <w:r w:rsidR="00E9486C">
        <w:rPr>
          <w:rStyle w:val="FontStyle27"/>
        </w:rPr>
        <w:t>nia</w:t>
      </w:r>
      <w:r w:rsidRPr="00764FC0">
        <w:rPr>
          <w:rStyle w:val="FontStyle27"/>
        </w:rPr>
        <w:t xml:space="preserve"> 3.</w:t>
      </w:r>
      <w:r w:rsidR="00E9486C">
        <w:rPr>
          <w:rStyle w:val="FontStyle27"/>
        </w:rPr>
        <w:t>2</w:t>
      </w:r>
      <w:r w:rsidRPr="00764FC0">
        <w:rPr>
          <w:rStyle w:val="FontStyle27"/>
        </w:rPr>
        <w:t xml:space="preserve"> </w:t>
      </w:r>
      <w:r w:rsidR="00E9486C">
        <w:rPr>
          <w:rStyle w:val="FontStyle27"/>
        </w:rPr>
        <w:t>POPC</w:t>
      </w:r>
      <w:r w:rsidRPr="00764FC0">
        <w:rPr>
          <w:rStyle w:val="FontStyle27"/>
        </w:rPr>
        <w:t xml:space="preserve">, uzasadnionym pozostaje skorzystanie z możliwości skrócenia terminu wejścia projektu w życie, przewidzianej w art. 4 ust. 2 ustawy z dnia 20 lipca 2000 r. o ogłaszaniu aktów normatywnych i niektórych innych aktów prawnych (Dz. U. z 2011 r. Nr 197, poz. 1172 i Nr 232 poz. 1378). Wejście w życie rozporządzenia w dniu następującym po dniu ogłoszenia nie narusza zasad demokratycznego państwa prawnego. </w:t>
      </w:r>
    </w:p>
    <w:p w:rsidR="00861A7B" w:rsidRDefault="00861A7B" w:rsidP="00861A7B">
      <w:pPr>
        <w:spacing w:before="120"/>
        <w:ind w:firstLine="708"/>
        <w:jc w:val="both"/>
      </w:pPr>
    </w:p>
    <w:p w:rsidR="00861A7B" w:rsidRPr="00861A7B" w:rsidRDefault="00861A7B" w:rsidP="00861A7B">
      <w:pPr>
        <w:spacing w:before="120"/>
        <w:ind w:firstLine="708"/>
        <w:jc w:val="both"/>
      </w:pPr>
      <w:r w:rsidRPr="000E03B4">
        <w:t>Przedmiot projektowanej regulacji jest zgodny z prawem Unii Europejskiej.</w:t>
      </w:r>
    </w:p>
    <w:p w:rsidR="00861A7B" w:rsidRDefault="00861A7B" w:rsidP="00861A7B">
      <w:pPr>
        <w:spacing w:before="120"/>
        <w:ind w:firstLine="708"/>
        <w:jc w:val="both"/>
      </w:pPr>
      <w:r>
        <w:t>Projektowana regulacja nie zawiera przepisów technicznych w rozumieniu rozporządzenia Rady Ministrów z dnia 23 grudnia 2002 r. w sprawie sposobu funkcjonowania krajowego systemu notyfikacji norm i aktów prawnych (Dz. U. Nr 239, poz. 2039 oraz z 2004 r. Nr 65, poz. 597) i nie podlega notyfikacji Komisji Europejskiej.</w:t>
      </w:r>
    </w:p>
    <w:p w:rsidR="00861A7B" w:rsidRDefault="00861A7B" w:rsidP="00861A7B">
      <w:pPr>
        <w:spacing w:before="120"/>
        <w:ind w:firstLine="708"/>
        <w:jc w:val="both"/>
      </w:pPr>
      <w:r>
        <w:t>Projektowana regulacja nie będzie wymagała notyfikacji Komisji Europejskiej w trybie ustawy z dnia 30 kwietnia 2004 r. o postępowaniu w sprawach dotyczących pomocy publicznej (Dz. U. z 2007 r. Nr 59, poz. 404, z późn. zm.).</w:t>
      </w:r>
    </w:p>
    <w:p w:rsidR="00861A7B" w:rsidRDefault="00861A7B" w:rsidP="00861A7B">
      <w:pPr>
        <w:spacing w:before="120"/>
        <w:ind w:firstLine="708"/>
        <w:jc w:val="both"/>
      </w:pPr>
      <w:r>
        <w:t>Projekt nie wymaga przedłożenia instytucjom i organom Unii Europejskiej oraz Europejskiemu Bankowi Centralnemu w celu uzyskania opinii, dokonania konsultacji lub uzgodnienia.</w:t>
      </w:r>
    </w:p>
    <w:p w:rsidR="00861A7B" w:rsidRDefault="00861A7B" w:rsidP="00861A7B">
      <w:pPr>
        <w:spacing w:before="120"/>
        <w:ind w:firstLine="708"/>
        <w:jc w:val="both"/>
      </w:pPr>
      <w:r>
        <w:t xml:space="preserve">Projekt został udostępniony na stronie podmiotowej Biuletynu Informacji Publicznej Rządowego Centrum Legislacji w zakładce Rządowy Proces Legislacyjny oraz na stronie podmiotowej Biuletynu Informacji Publicznej Ministerstwa Cyfryzacji.  </w:t>
      </w:r>
    </w:p>
    <w:p w:rsidR="00861A7B" w:rsidRDefault="00861A7B" w:rsidP="00861A7B">
      <w:pPr>
        <w:spacing w:before="120"/>
        <w:ind w:firstLine="708"/>
        <w:jc w:val="both"/>
      </w:pPr>
      <w:r>
        <w:t>W trybie ustawy z dnia 7 lipca 2005 r. o działalności lobbingowej w procesie stanowienia prawa (Dz. U. Nr 169, poz. 1414, z późn. zm.) nie zgłoszono zainteresowania pracami nad projektem ustawy.</w:t>
      </w:r>
    </w:p>
    <w:p w:rsidR="004522F5" w:rsidRDefault="004522F5" w:rsidP="00764FC0">
      <w:pPr>
        <w:spacing w:before="120"/>
        <w:ind w:firstLine="708"/>
        <w:jc w:val="both"/>
      </w:pPr>
      <w:r w:rsidRPr="00BE59A6">
        <w:t>Rozporządzenie podlega zaopiniowaniu przez Prezesa Urzędu Ochrony Konkurencji i Konsumentów w trybie</w:t>
      </w:r>
      <w:r>
        <w:t xml:space="preserve"> art. 12 ust. 1</w:t>
      </w:r>
      <w:r w:rsidRPr="00BE59A6">
        <w:t xml:space="preserve"> ustawy z dnia 30 kwietnia 2004 r. o postępowaniu w sprawach dotyczących pomocy publicznej (Dz. U. z 2007 r. Nr 59, poz. 404, z późn. zm.)</w:t>
      </w:r>
      <w:r>
        <w:t>.</w:t>
      </w:r>
    </w:p>
    <w:p w:rsidR="00AE1F17" w:rsidRDefault="00E30A98" w:rsidP="00764FC0">
      <w:pPr>
        <w:pStyle w:val="Style6"/>
        <w:widowControl/>
        <w:spacing w:before="120" w:line="240" w:lineRule="auto"/>
      </w:pPr>
      <w:r w:rsidDel="00E30A98">
        <w:rPr>
          <w:rStyle w:val="FontStyle25"/>
        </w:rPr>
        <w:t xml:space="preserve"> </w:t>
      </w:r>
    </w:p>
    <w:p w:rsidR="00690736" w:rsidRDefault="0038412B" w:rsidP="00764FC0">
      <w:pPr>
        <w:spacing w:before="120"/>
      </w:pPr>
    </w:p>
    <w:sectPr w:rsidR="00690736" w:rsidSect="004C65F0">
      <w:headerReference w:type="even" r:id="rId8"/>
      <w:footerReference w:type="default" r:id="rId9"/>
      <w:headerReference w:type="first" r:id="rId10"/>
      <w:footerReference w:type="first" r:id="rId11"/>
      <w:pgSz w:w="11905" w:h="16837"/>
      <w:pgMar w:top="851" w:right="1418" w:bottom="851" w:left="1418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2B" w:rsidRDefault="0038412B">
      <w:r>
        <w:separator/>
      </w:r>
    </w:p>
  </w:endnote>
  <w:endnote w:type="continuationSeparator" w:id="0">
    <w:p w:rsidR="0038412B" w:rsidRDefault="0038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ED" w:rsidRDefault="00837AC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7FE6">
      <w:rPr>
        <w:noProof/>
      </w:rPr>
      <w:t>1</w:t>
    </w:r>
    <w:r>
      <w:fldChar w:fldCharType="end"/>
    </w:r>
  </w:p>
  <w:p w:rsidR="00B50AED" w:rsidRDefault="003841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ED" w:rsidRDefault="00837AC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50AED" w:rsidRDefault="003841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2B" w:rsidRDefault="0038412B">
      <w:r>
        <w:separator/>
      </w:r>
    </w:p>
  </w:footnote>
  <w:footnote w:type="continuationSeparator" w:id="0">
    <w:p w:rsidR="0038412B" w:rsidRDefault="00384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ED" w:rsidRDefault="00837AC3" w:rsidP="00E36F8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0AED" w:rsidRDefault="00837AC3">
    <w:pPr>
      <w:pStyle w:val="Style5"/>
      <w:widowControl/>
      <w:spacing w:line="240" w:lineRule="auto"/>
      <w:ind w:left="4155" w:right="-29"/>
      <w:rPr>
        <w:rStyle w:val="FontStyle27"/>
        <w:spacing w:val="60"/>
      </w:rPr>
    </w:pPr>
    <w:r>
      <w:rPr>
        <w:rStyle w:val="FontStyle27"/>
        <w:spacing w:val="60"/>
      </w:rPr>
      <w:t>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ED" w:rsidRDefault="00837AC3" w:rsidP="009E4B92">
    <w:pPr>
      <w:pStyle w:val="Nagwek"/>
      <w:jc w:val="right"/>
    </w:pPr>
    <w:r>
      <w:t>Wersja z dnia          czerwca 2010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BB4"/>
    <w:multiLevelType w:val="hybridMultilevel"/>
    <w:tmpl w:val="25E41ADC"/>
    <w:lvl w:ilvl="0" w:tplc="EA94C190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>
    <w:nsid w:val="11407534"/>
    <w:multiLevelType w:val="singleLevel"/>
    <w:tmpl w:val="2BF00CD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5CB2F40"/>
    <w:multiLevelType w:val="hybridMultilevel"/>
    <w:tmpl w:val="EAB0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746CF"/>
    <w:multiLevelType w:val="hybridMultilevel"/>
    <w:tmpl w:val="FC643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045B3"/>
    <w:multiLevelType w:val="multilevel"/>
    <w:tmpl w:val="BC441F1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112A4"/>
    <w:multiLevelType w:val="multilevel"/>
    <w:tmpl w:val="BC0CBD28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6">
    <w:nsid w:val="536629D7"/>
    <w:multiLevelType w:val="hybridMultilevel"/>
    <w:tmpl w:val="74321332"/>
    <w:lvl w:ilvl="0" w:tplc="ECC25E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7">
    <w:nsid w:val="5DED0D07"/>
    <w:multiLevelType w:val="hybridMultilevel"/>
    <w:tmpl w:val="DAC67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E09AB"/>
    <w:multiLevelType w:val="singleLevel"/>
    <w:tmpl w:val="4E404F5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C0C5A1E"/>
    <w:multiLevelType w:val="hybridMultilevel"/>
    <w:tmpl w:val="289C4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A556A"/>
    <w:multiLevelType w:val="singleLevel"/>
    <w:tmpl w:val="69E050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17"/>
    <w:rsid w:val="00054F67"/>
    <w:rsid w:val="00057D1C"/>
    <w:rsid w:val="00067522"/>
    <w:rsid w:val="00067BAF"/>
    <w:rsid w:val="00076C17"/>
    <w:rsid w:val="0009517E"/>
    <w:rsid w:val="000A2730"/>
    <w:rsid w:val="000C0053"/>
    <w:rsid w:val="000C0E5F"/>
    <w:rsid w:val="000F4891"/>
    <w:rsid w:val="00121354"/>
    <w:rsid w:val="001274DF"/>
    <w:rsid w:val="001454F4"/>
    <w:rsid w:val="001604E7"/>
    <w:rsid w:val="00196946"/>
    <w:rsid w:val="00197574"/>
    <w:rsid w:val="001A7324"/>
    <w:rsid w:val="001B4D14"/>
    <w:rsid w:val="001F64BD"/>
    <w:rsid w:val="001F666D"/>
    <w:rsid w:val="002366F6"/>
    <w:rsid w:val="00245183"/>
    <w:rsid w:val="0025440F"/>
    <w:rsid w:val="0026168F"/>
    <w:rsid w:val="00263F24"/>
    <w:rsid w:val="00287A16"/>
    <w:rsid w:val="002902CA"/>
    <w:rsid w:val="002A4E50"/>
    <w:rsid w:val="002C0B1F"/>
    <w:rsid w:val="002C2606"/>
    <w:rsid w:val="002C32FF"/>
    <w:rsid w:val="002C6A0D"/>
    <w:rsid w:val="002D5EDC"/>
    <w:rsid w:val="003201AE"/>
    <w:rsid w:val="00343EF6"/>
    <w:rsid w:val="00347C2A"/>
    <w:rsid w:val="0038412B"/>
    <w:rsid w:val="00394A13"/>
    <w:rsid w:val="0039755D"/>
    <w:rsid w:val="003A3B27"/>
    <w:rsid w:val="003A539B"/>
    <w:rsid w:val="003B55BA"/>
    <w:rsid w:val="003C2007"/>
    <w:rsid w:val="003D6A34"/>
    <w:rsid w:val="003D72E6"/>
    <w:rsid w:val="003F1645"/>
    <w:rsid w:val="003F7D2C"/>
    <w:rsid w:val="00417443"/>
    <w:rsid w:val="0041781A"/>
    <w:rsid w:val="004522F5"/>
    <w:rsid w:val="004721CF"/>
    <w:rsid w:val="004C3912"/>
    <w:rsid w:val="004D0EE4"/>
    <w:rsid w:val="004D2B58"/>
    <w:rsid w:val="00520623"/>
    <w:rsid w:val="00555732"/>
    <w:rsid w:val="0056581D"/>
    <w:rsid w:val="00565913"/>
    <w:rsid w:val="005A3D4C"/>
    <w:rsid w:val="005C7FE6"/>
    <w:rsid w:val="005D3697"/>
    <w:rsid w:val="00611837"/>
    <w:rsid w:val="0061250C"/>
    <w:rsid w:val="0063158E"/>
    <w:rsid w:val="00642424"/>
    <w:rsid w:val="00647041"/>
    <w:rsid w:val="00656527"/>
    <w:rsid w:val="00666485"/>
    <w:rsid w:val="00671D43"/>
    <w:rsid w:val="0067792E"/>
    <w:rsid w:val="006911A9"/>
    <w:rsid w:val="006B6E2B"/>
    <w:rsid w:val="00703EC3"/>
    <w:rsid w:val="007047BC"/>
    <w:rsid w:val="00761E11"/>
    <w:rsid w:val="00763DBD"/>
    <w:rsid w:val="00764FC0"/>
    <w:rsid w:val="007A678E"/>
    <w:rsid w:val="007C2528"/>
    <w:rsid w:val="007E606C"/>
    <w:rsid w:val="007F2FC5"/>
    <w:rsid w:val="008019B4"/>
    <w:rsid w:val="00837AC3"/>
    <w:rsid w:val="00861A7B"/>
    <w:rsid w:val="008760BD"/>
    <w:rsid w:val="008F20F8"/>
    <w:rsid w:val="00916663"/>
    <w:rsid w:val="0093189D"/>
    <w:rsid w:val="00972474"/>
    <w:rsid w:val="00973B39"/>
    <w:rsid w:val="00977071"/>
    <w:rsid w:val="00984B26"/>
    <w:rsid w:val="009E2B0E"/>
    <w:rsid w:val="00A05D78"/>
    <w:rsid w:val="00A11E09"/>
    <w:rsid w:val="00A177E1"/>
    <w:rsid w:val="00A323B4"/>
    <w:rsid w:val="00A40430"/>
    <w:rsid w:val="00A71351"/>
    <w:rsid w:val="00A72103"/>
    <w:rsid w:val="00A85E56"/>
    <w:rsid w:val="00A94157"/>
    <w:rsid w:val="00A9706B"/>
    <w:rsid w:val="00AB7E2E"/>
    <w:rsid w:val="00AC3B5F"/>
    <w:rsid w:val="00AD098A"/>
    <w:rsid w:val="00AE1F17"/>
    <w:rsid w:val="00AF147D"/>
    <w:rsid w:val="00B0345F"/>
    <w:rsid w:val="00B14358"/>
    <w:rsid w:val="00B207B5"/>
    <w:rsid w:val="00B40B6C"/>
    <w:rsid w:val="00B50763"/>
    <w:rsid w:val="00B52518"/>
    <w:rsid w:val="00B52AAB"/>
    <w:rsid w:val="00B65B71"/>
    <w:rsid w:val="00B80EA4"/>
    <w:rsid w:val="00BB4CFD"/>
    <w:rsid w:val="00BD4E31"/>
    <w:rsid w:val="00BF0164"/>
    <w:rsid w:val="00BF46FD"/>
    <w:rsid w:val="00C00F1B"/>
    <w:rsid w:val="00C04890"/>
    <w:rsid w:val="00C24FC7"/>
    <w:rsid w:val="00C33932"/>
    <w:rsid w:val="00C40C25"/>
    <w:rsid w:val="00C476C5"/>
    <w:rsid w:val="00C61140"/>
    <w:rsid w:val="00CC75F5"/>
    <w:rsid w:val="00CE4FD7"/>
    <w:rsid w:val="00CF4690"/>
    <w:rsid w:val="00D23F86"/>
    <w:rsid w:val="00D2433E"/>
    <w:rsid w:val="00D85AC6"/>
    <w:rsid w:val="00D9604C"/>
    <w:rsid w:val="00DF21A2"/>
    <w:rsid w:val="00E07B49"/>
    <w:rsid w:val="00E30A98"/>
    <w:rsid w:val="00E3464A"/>
    <w:rsid w:val="00E56FA2"/>
    <w:rsid w:val="00E666A6"/>
    <w:rsid w:val="00E9486C"/>
    <w:rsid w:val="00EA6671"/>
    <w:rsid w:val="00ED784B"/>
    <w:rsid w:val="00EE4BF5"/>
    <w:rsid w:val="00EF6BB4"/>
    <w:rsid w:val="00F01F2C"/>
    <w:rsid w:val="00F053AD"/>
    <w:rsid w:val="00F10F27"/>
    <w:rsid w:val="00F457A5"/>
    <w:rsid w:val="00F5188F"/>
    <w:rsid w:val="00F62689"/>
    <w:rsid w:val="00F74C1C"/>
    <w:rsid w:val="00F82D89"/>
    <w:rsid w:val="00FB4B97"/>
    <w:rsid w:val="00FB7713"/>
    <w:rsid w:val="00F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162B9-87E1-4EC0-BABD-1BCA366B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AE1F17"/>
  </w:style>
  <w:style w:type="paragraph" w:customStyle="1" w:styleId="Style5">
    <w:name w:val="Style5"/>
    <w:basedOn w:val="Normalny"/>
    <w:rsid w:val="00AE1F17"/>
    <w:pPr>
      <w:spacing w:line="277" w:lineRule="exact"/>
      <w:jc w:val="both"/>
    </w:pPr>
  </w:style>
  <w:style w:type="paragraph" w:customStyle="1" w:styleId="Style6">
    <w:name w:val="Style6"/>
    <w:basedOn w:val="Normalny"/>
    <w:rsid w:val="00AE1F17"/>
    <w:pPr>
      <w:spacing w:line="396" w:lineRule="exact"/>
      <w:jc w:val="center"/>
    </w:pPr>
  </w:style>
  <w:style w:type="paragraph" w:customStyle="1" w:styleId="Style13">
    <w:name w:val="Style13"/>
    <w:basedOn w:val="Normalny"/>
    <w:rsid w:val="00AE1F17"/>
    <w:pPr>
      <w:spacing w:line="275" w:lineRule="exact"/>
      <w:jc w:val="both"/>
    </w:pPr>
  </w:style>
  <w:style w:type="paragraph" w:customStyle="1" w:styleId="Style18">
    <w:name w:val="Style18"/>
    <w:basedOn w:val="Normalny"/>
    <w:rsid w:val="00AE1F17"/>
    <w:pPr>
      <w:spacing w:line="274" w:lineRule="exact"/>
      <w:ind w:firstLine="727"/>
      <w:jc w:val="both"/>
    </w:pPr>
  </w:style>
  <w:style w:type="paragraph" w:customStyle="1" w:styleId="Style21">
    <w:name w:val="Style21"/>
    <w:basedOn w:val="Normalny"/>
    <w:rsid w:val="00AE1F17"/>
    <w:pPr>
      <w:spacing w:line="274" w:lineRule="exact"/>
      <w:ind w:hanging="360"/>
    </w:pPr>
  </w:style>
  <w:style w:type="character" w:customStyle="1" w:styleId="FontStyle25">
    <w:name w:val="Font Style25"/>
    <w:basedOn w:val="Domylnaczcionkaakapitu"/>
    <w:rsid w:val="00AE1F1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Domylnaczcionkaakapitu"/>
    <w:rsid w:val="00AE1F17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Domylnaczcionkaakapitu"/>
    <w:rsid w:val="00AE1F17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AE1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F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E1F17"/>
  </w:style>
  <w:style w:type="paragraph" w:styleId="Stopka">
    <w:name w:val="footer"/>
    <w:basedOn w:val="Normalny"/>
    <w:link w:val="StopkaZnak"/>
    <w:uiPriority w:val="99"/>
    <w:unhideWhenUsed/>
    <w:rsid w:val="00AE1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4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4F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6">
    <w:name w:val="Style16"/>
    <w:basedOn w:val="Normalny"/>
    <w:rsid w:val="003D72E6"/>
    <w:pPr>
      <w:spacing w:line="277" w:lineRule="exact"/>
      <w:ind w:hanging="360"/>
      <w:jc w:val="both"/>
    </w:pPr>
  </w:style>
  <w:style w:type="paragraph" w:customStyle="1" w:styleId="PKTpunkt">
    <w:name w:val="PKT – punkt"/>
    <w:uiPriority w:val="13"/>
    <w:qFormat/>
    <w:rsid w:val="00343EF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E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E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E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B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0">
    <w:name w:val="List 0"/>
    <w:rsid w:val="00B40B6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761E11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52062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54F67"/>
    <w:pPr>
      <w:spacing w:before="0"/>
    </w:pPr>
    <w:rPr>
      <w:rFonts w:eastAsia="Times New Roman"/>
      <w:bCs/>
    </w:rPr>
  </w:style>
  <w:style w:type="paragraph" w:styleId="Tekstpodstawowy">
    <w:name w:val="Body Text"/>
    <w:basedOn w:val="Normalny"/>
    <w:link w:val="TekstpodstawowyZnak"/>
    <w:unhideWhenUsed/>
    <w:rsid w:val="00861A7B"/>
    <w:pPr>
      <w:widowControl/>
      <w:suppressAutoHyphens/>
      <w:autoSpaceDE/>
      <w:autoSpaceDN/>
      <w:adjustRightInd/>
      <w:spacing w:line="360" w:lineRule="auto"/>
      <w:jc w:val="both"/>
    </w:pPr>
    <w:rPr>
      <w:noProof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1A7B"/>
    <w:rPr>
      <w:rFonts w:ascii="Times New Roman" w:eastAsia="Times New Roman" w:hAnsi="Times New Roman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421C-1994-44CE-A30C-E9005204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Kroszczyńska Elżbieta</dc:creator>
  <cp:lastModifiedBy>Lewandowski Mariusz</cp:lastModifiedBy>
  <cp:revision>4</cp:revision>
  <dcterms:created xsi:type="dcterms:W3CDTF">2016-01-19T14:16:00Z</dcterms:created>
  <dcterms:modified xsi:type="dcterms:W3CDTF">2016-02-18T16:02:00Z</dcterms:modified>
</cp:coreProperties>
</file>