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11"/>
        <w:gridCol w:w="306"/>
        <w:gridCol w:w="304"/>
        <w:gridCol w:w="317"/>
        <w:gridCol w:w="253"/>
        <w:gridCol w:w="570"/>
        <w:gridCol w:w="115"/>
        <w:gridCol w:w="1422"/>
        <w:gridCol w:w="10"/>
      </w:tblGrid>
      <w:tr w:rsidR="0000120A" w:rsidRPr="008B4FE6" w:rsidTr="00EC684E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00120A" w:rsidRPr="008B4FE6" w:rsidRDefault="0000120A" w:rsidP="00EC684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32A04">
              <w:rPr>
                <w:rFonts w:ascii="Times New Roman" w:hAnsi="Times New Roman"/>
                <w:b/>
                <w:bCs/>
                <w:color w:val="000000"/>
              </w:rPr>
              <w:t>Nazwa projektu</w:t>
            </w:r>
          </w:p>
          <w:p w:rsidR="0000120A" w:rsidRDefault="0000120A" w:rsidP="00EC684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ustawy o dostępności cyfrowej stron internetowych i aplikacji mobilnych podmiotów publicznych</w:t>
            </w:r>
          </w:p>
          <w:p w:rsidR="0000120A" w:rsidRDefault="0000120A" w:rsidP="00EC684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20A" w:rsidRPr="00B35866" w:rsidRDefault="0000120A" w:rsidP="00EC684E">
            <w:pPr>
              <w:spacing w:line="240" w:lineRule="auto"/>
              <w:ind w:hanging="45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>Ministerstwo wiodące i ministerstwa współpracujące</w:t>
            </w:r>
          </w:p>
          <w:p w:rsidR="0000120A" w:rsidRDefault="0000120A" w:rsidP="00EC684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Cyfryzacji, </w:t>
            </w:r>
          </w:p>
          <w:p w:rsidR="0000120A" w:rsidRDefault="0000120A" w:rsidP="00EC684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Współpracuje: </w:t>
            </w:r>
            <w:r w:rsidR="00E422DA" w:rsidRPr="00E422DA">
              <w:rPr>
                <w:rFonts w:ascii="Times New Roman" w:hAnsi="Times New Roman"/>
                <w:color w:val="000000"/>
              </w:rPr>
              <w:t>Ministerstwo Inwestycji i Rozwoju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B35866" w:rsidRDefault="0000120A" w:rsidP="00EC684E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32A0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:rsidR="0000120A" w:rsidRPr="0063060B" w:rsidRDefault="0000120A" w:rsidP="00EC684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Marek Zagórski, Minister Cyfryzacji</w:t>
            </w:r>
          </w:p>
          <w:p w:rsidR="0000120A" w:rsidRDefault="0000120A" w:rsidP="00EC684E">
            <w:pPr>
              <w:spacing w:line="240" w:lineRule="auto"/>
              <w:ind w:hanging="45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120A" w:rsidRPr="00B35866" w:rsidRDefault="0000120A" w:rsidP="00EC684E">
            <w:pPr>
              <w:spacing w:line="240" w:lineRule="auto"/>
              <w:ind w:hanging="45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>Kontakt do opiekuna merytorycznego projektu</w:t>
            </w:r>
          </w:p>
          <w:p w:rsidR="0000120A" w:rsidRPr="00EE29CA" w:rsidRDefault="0000120A" w:rsidP="00EC684E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Robert Król, Z-ca dyrektora Departamentu Otwartych Danych i Rozwoju Kompetencji, tel. </w:t>
            </w:r>
            <w:r w:rsidRPr="00EE29CA">
              <w:rPr>
                <w:rFonts w:ascii="Times New Roman" w:hAnsi="Times New Roman"/>
                <w:color w:val="000000"/>
                <w:lang w:val="en-US"/>
              </w:rPr>
              <w:t xml:space="preserve">(22) 245 55 80, e-mail: Robert.Krol@mc.gov.pl </w:t>
            </w:r>
          </w:p>
        </w:tc>
        <w:tc>
          <w:tcPr>
            <w:tcW w:w="4306" w:type="dxa"/>
            <w:gridSpan w:val="12"/>
            <w:shd w:val="clear" w:color="auto" w:fill="FFFFFF" w:themeFill="background1"/>
          </w:tcPr>
          <w:p w:rsidR="0000120A" w:rsidRPr="00B35866" w:rsidRDefault="0000120A" w:rsidP="00EC684E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32A04">
              <w:rPr>
                <w:rFonts w:ascii="Times New Roman" w:hAnsi="Times New Roman"/>
                <w:b/>
                <w:bCs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03</w:t>
            </w:r>
            <w:r w:rsidRPr="004B06B3">
              <w:rPr>
                <w:rFonts w:ascii="Times New Roman" w:hAnsi="Times New Roman"/>
                <w:bCs/>
                <w:sz w:val="21"/>
                <w:szCs w:val="21"/>
              </w:rPr>
              <w:t>-0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Pr="004B06B3">
              <w:rPr>
                <w:rFonts w:ascii="Times New Roman" w:hAnsi="Times New Roman"/>
                <w:bCs/>
                <w:sz w:val="21"/>
                <w:szCs w:val="21"/>
              </w:rPr>
              <w:t>-2018 r.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 w:rsidRPr="00A32A04">
              <w:rPr>
                <w:rFonts w:ascii="Times New Roman" w:hAnsi="Times New Roman"/>
                <w:b/>
                <w:bCs/>
              </w:rPr>
              <w:t xml:space="preserve">Źródło: </w:t>
            </w:r>
            <w:r w:rsidRPr="008D72E2">
              <w:rPr>
                <w:rFonts w:ascii="Times New Roman" w:hAnsi="Times New Roman"/>
                <w:bCs/>
              </w:rPr>
              <w:t xml:space="preserve">Dyrektywa Parlamentu Europejskiego i Rady (UE) 2016/2102 z dnia 26 października 2016 r. w sprawie dostępności stron internetowych i mobilnych aplikacji organów sektora publicznego (Dz. Urz. UE L 327 z 02.12.2016 </w:t>
            </w:r>
            <w:proofErr w:type="gramStart"/>
            <w:r w:rsidRPr="008D72E2">
              <w:rPr>
                <w:rFonts w:ascii="Times New Roman" w:hAnsi="Times New Roman"/>
                <w:bCs/>
              </w:rPr>
              <w:t>r</w:t>
            </w:r>
            <w:proofErr w:type="gramEnd"/>
            <w:r w:rsidRPr="008D72E2">
              <w:rPr>
                <w:rFonts w:ascii="Times New Roman" w:hAnsi="Times New Roman"/>
                <w:bCs/>
              </w:rPr>
              <w:t>., str. 1).</w:t>
            </w:r>
          </w:p>
          <w:p w:rsidR="0000120A" w:rsidRPr="0065019F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</w:rPr>
              <w:t xml:space="preserve"> </w:t>
            </w:r>
          </w:p>
          <w:p w:rsidR="0000120A" w:rsidRPr="00B35866" w:rsidRDefault="0000120A" w:rsidP="00EC684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>Nr w</w:t>
            </w:r>
            <w:r w:rsidRPr="00D70927">
              <w:rPr>
                <w:rFonts w:ascii="Times New Roman" w:hAnsi="Times New Roman"/>
                <w:b/>
                <w:bCs/>
                <w:color w:val="000000"/>
              </w:rPr>
              <w:t xml:space="preserve"> wykazie prac ………………….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120A" w:rsidRPr="0022687A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 w:rsidRPr="00A32A04"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0120A" w:rsidRPr="008B4FE6" w:rsidTr="00EC684E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</w:rPr>
              <w:t>Jaki problem jest rozwiązywany?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32DBC">
              <w:rPr>
                <w:rFonts w:ascii="Times New Roman" w:hAnsi="Times New Roman"/>
                <w:color w:val="000000"/>
              </w:rPr>
              <w:t xml:space="preserve">Współcześnie rozwój społeczny i gospodarczy w znacznym stopniu zależny jest od szybkiego i nieskrępowanego dostępu do informacji. </w:t>
            </w:r>
            <w:r w:rsidRPr="002F65A2">
              <w:rPr>
                <w:rFonts w:ascii="Times New Roman" w:hAnsi="Times New Roman"/>
                <w:color w:val="000000"/>
              </w:rPr>
              <w:t xml:space="preserve">Trend zmierzający do </w:t>
            </w:r>
            <w:r w:rsidRPr="00690D70">
              <w:rPr>
                <w:rFonts w:ascii="Times New Roman" w:hAnsi="Times New Roman"/>
                <w:color w:val="000000" w:themeColor="text1"/>
              </w:rPr>
              <w:t xml:space="preserve">rozwoju </w:t>
            </w:r>
            <w:r w:rsidRPr="002F65A2">
              <w:rPr>
                <w:rFonts w:ascii="Times New Roman" w:hAnsi="Times New Roman"/>
                <w:color w:val="000000"/>
              </w:rPr>
              <w:t>społeczeństwa cyfrowego</w:t>
            </w:r>
            <w:r>
              <w:rPr>
                <w:rFonts w:ascii="Times New Roman" w:hAnsi="Times New Roman"/>
                <w:color w:val="000000"/>
              </w:rPr>
              <w:t xml:space="preserve"> wymaga</w:t>
            </w:r>
            <w:r w:rsidRPr="002F65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zapewnienia </w:t>
            </w:r>
            <w:r w:rsidRPr="002F65A2">
              <w:rPr>
                <w:rFonts w:ascii="Times New Roman" w:hAnsi="Times New Roman"/>
                <w:color w:val="000000"/>
              </w:rPr>
              <w:t xml:space="preserve">użytkownikom </w:t>
            </w:r>
            <w:r>
              <w:rPr>
                <w:rFonts w:ascii="Times New Roman" w:hAnsi="Times New Roman"/>
                <w:color w:val="000000"/>
              </w:rPr>
              <w:t>sprawnych</w:t>
            </w:r>
            <w:r w:rsidRPr="002F65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metod</w:t>
            </w:r>
            <w:r w:rsidRPr="002F65A2">
              <w:rPr>
                <w:rFonts w:ascii="Times New Roman" w:hAnsi="Times New Roman"/>
                <w:color w:val="000000"/>
              </w:rPr>
              <w:t xml:space="preserve"> dostępu do informacji i usług. Podmioty </w:t>
            </w:r>
            <w:r>
              <w:rPr>
                <w:rFonts w:ascii="Times New Roman" w:hAnsi="Times New Roman"/>
                <w:color w:val="000000"/>
              </w:rPr>
              <w:t>realizujące zadnia publiczne</w:t>
            </w:r>
            <w:r w:rsidRPr="002F65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 coraz większym stopniu poprzez Internet </w:t>
            </w:r>
            <w:r w:rsidRPr="002F65A2">
              <w:rPr>
                <w:rFonts w:ascii="Times New Roman" w:hAnsi="Times New Roman"/>
                <w:color w:val="000000"/>
              </w:rPr>
              <w:t xml:space="preserve">udostępniają informacje </w:t>
            </w:r>
            <w:r>
              <w:rPr>
                <w:rFonts w:ascii="Times New Roman" w:hAnsi="Times New Roman"/>
                <w:color w:val="000000"/>
              </w:rPr>
              <w:t xml:space="preserve">o swoich zadaniach i </w:t>
            </w:r>
            <w:r w:rsidRPr="002F65A2">
              <w:rPr>
                <w:rFonts w:ascii="Times New Roman" w:hAnsi="Times New Roman"/>
                <w:color w:val="000000"/>
              </w:rPr>
              <w:t>świadcz</w:t>
            </w:r>
            <w:r>
              <w:rPr>
                <w:rFonts w:ascii="Times New Roman" w:hAnsi="Times New Roman"/>
                <w:color w:val="000000"/>
              </w:rPr>
              <w:t xml:space="preserve">onych </w:t>
            </w:r>
            <w:r w:rsidRPr="002F65A2">
              <w:rPr>
                <w:rFonts w:ascii="Times New Roman" w:hAnsi="Times New Roman"/>
                <w:color w:val="000000"/>
              </w:rPr>
              <w:t>usług</w:t>
            </w:r>
            <w:r>
              <w:rPr>
                <w:rFonts w:ascii="Times New Roman" w:hAnsi="Times New Roman"/>
                <w:color w:val="000000"/>
              </w:rPr>
              <w:t xml:space="preserve">ach.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Udostępnianie informacji powinno odbywać się na przejrzystych, skutecznych i niedyskryminujących warunkach, natomiast Państwo w równym stopniu powinno zapewnić wszystkim swoim obywatelom dostęp do usług informacji sektora publicznego, ułatwiających im codzienne życie i korzystanie z przysługujących im praw. Dla niektórych osób niepełnosprawnych informacje publikowane w Internecie mogą być w pewnych sytuacjach trudne do odczytania i zrozumienia, jeśli nie są odpowiednio przygotowane. W niektórych przypadkach nieodpowiednio przygotowane informacje są całkowicie niedostępne dla osób z pewnymi ograniczeniami funkcjonalnymi.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ustawy stanowi implementację dyrektywy Parlamentu Europejskiego i Rady (UE) 2016/2102 z dnia </w:t>
            </w:r>
            <w:r>
              <w:rPr>
                <w:rFonts w:ascii="Times New Roman" w:hAnsi="Times New Roman"/>
                <w:color w:val="000000"/>
              </w:rPr>
              <w:br/>
              <w:t xml:space="preserve">26 października 2016 r. w sprawie dostępności stron internetowych i mobilnych aplikacji organów sektora publicznego (Dz. Urz. UE L 327 z 02.12.2016 </w:t>
            </w:r>
            <w:proofErr w:type="gramStart"/>
            <w:r>
              <w:rPr>
                <w:rFonts w:ascii="Times New Roman" w:hAnsi="Times New Roman"/>
                <w:color w:val="000000"/>
              </w:rPr>
              <w:t>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., str. 1), zwanej dalej „dyrektywą 2016/2102/UE”, której głównym celem jest zapewnienie większej dostępności stron internetowych i aplikacji mobilnych podmiotów realizujących zadania publiczne, w oparciu o wspólne dla wszystkich </w:t>
            </w:r>
            <w:r w:rsidR="00415EA7">
              <w:rPr>
                <w:rFonts w:ascii="Times New Roman" w:hAnsi="Times New Roman"/>
                <w:color w:val="000000"/>
              </w:rPr>
              <w:t xml:space="preserve">państw członkowskich </w:t>
            </w:r>
            <w:r>
              <w:rPr>
                <w:rFonts w:ascii="Times New Roman" w:hAnsi="Times New Roman"/>
                <w:color w:val="000000"/>
              </w:rPr>
              <w:t xml:space="preserve">UE wymogi dostępności dla osób z ograniczeniami funkcjonalnymi. </w:t>
            </w:r>
            <w:r>
              <w:rPr>
                <w:rFonts w:ascii="Times New Roman" w:hAnsi="Times New Roman"/>
                <w:color w:val="000000"/>
                <w:spacing w:val="-2"/>
              </w:rPr>
              <w:t>Takie osoby</w:t>
            </w:r>
            <w:r w:rsidRPr="00556389">
              <w:rPr>
                <w:rFonts w:ascii="Times New Roman" w:hAnsi="Times New Roman"/>
                <w:color w:val="000000"/>
                <w:spacing w:val="-2"/>
              </w:rPr>
              <w:t xml:space="preserve"> to między innymi: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56389">
              <w:rPr>
                <w:rFonts w:ascii="Times New Roman" w:hAnsi="Times New Roman"/>
                <w:color w:val="000000"/>
                <w:spacing w:val="-2"/>
              </w:rPr>
              <w:t>•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osoby niewidome i słabowidzące,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•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osoby głuche i słabosłyszące,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56389">
              <w:rPr>
                <w:rFonts w:ascii="Times New Roman" w:hAnsi="Times New Roman"/>
                <w:color w:val="000000"/>
                <w:spacing w:val="-2"/>
              </w:rPr>
              <w:t>•</w:t>
            </w:r>
            <w:r w:rsidRPr="00556389">
              <w:rPr>
                <w:rFonts w:ascii="Times New Roman" w:hAnsi="Times New Roman"/>
                <w:color w:val="000000"/>
                <w:spacing w:val="-2"/>
              </w:rPr>
              <w:tab/>
              <w:t>osoby z niepełnosprawnościami p</w:t>
            </w:r>
            <w:r>
              <w:rPr>
                <w:rFonts w:ascii="Times New Roman" w:hAnsi="Times New Roman"/>
                <w:color w:val="000000"/>
                <w:spacing w:val="-2"/>
              </w:rPr>
              <w:t>sychicznymi lub intelektualnymi,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•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osoby starsze,</w:t>
            </w:r>
          </w:p>
          <w:p w:rsidR="0000120A" w:rsidRPr="0055638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56389">
              <w:rPr>
                <w:rFonts w:ascii="Times New Roman" w:hAnsi="Times New Roman"/>
                <w:color w:val="000000"/>
                <w:spacing w:val="-2"/>
              </w:rPr>
              <w:t>•</w:t>
            </w:r>
            <w:r w:rsidRPr="00556389">
              <w:rPr>
                <w:rFonts w:ascii="Times New Roman" w:hAnsi="Times New Roman"/>
                <w:color w:val="000000"/>
                <w:spacing w:val="-2"/>
              </w:rPr>
              <w:tab/>
              <w:t>osoby mające trudności w komunikowaniu się z otoczeniem (mają problemy z komunikowaniem się lub rozumieniem języka pisanego albo mówionego)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Powyższa d</w:t>
            </w:r>
            <w:r w:rsidRPr="00556389">
              <w:rPr>
                <w:rFonts w:ascii="Times New Roman" w:hAnsi="Times New Roman"/>
                <w:color w:val="000000"/>
                <w:spacing w:val="-2"/>
              </w:rPr>
              <w:t>efinicja ma zastosowanie do ograniczeń czasowych i trwałych.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Wymogi dotyczące dostępności stron internetowych zawarte w projekcie ustawy zapewniają możliwość dostępu do informacji elektronicznej maksymalnie dużej liczbie osób bez względu na ich ewentualne ograniczenia funkcjonalne.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Dyrektywa 2016/2102/UE rozwija przyjęte w polskim porządku prawnym rozwiązania dotyczące stosowania wymagań dla dostępności stron internetowych administracji publicznej, wprowadzone w rozporządzeniu Rady Ministrów z dnia 12 kwietnia 2012 r. </w:t>
            </w:r>
            <w:r w:rsidRPr="00A32A04">
              <w:rPr>
                <w:rFonts w:ascii="Times New Roman" w:hAnsi="Times New Roman"/>
                <w:i/>
                <w:iCs/>
                <w:color w:val="000000"/>
                <w:spacing w:val="-2"/>
              </w:rPr>
              <w:t>w sprawie Krajowych Ram Interoperacyjności, minimalnych wymagań dla rejestrów publicznych i wymiany informacji w postaci elektronicznej oraz minimalnych wymagań dla systemów teleinformatycznych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(Dz. U.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2017 r. poz. 2247), (zwanym dalej „rozporządzeniem KRI”), tj. wymagań zgodności systemu teleinformatycznego służącego prezentacji zasobów informacji podmiotu realizującego zadania publiczne z wytycznymi WCAG 2.0 na poziomie co najmniej AA. Zauważyć należy, iż wprowadzenie wymogu stosowania się do ww.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wytycznych  spowodowało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znaczne zwiększenie dostępności informacji publikowanych przez organy administracji dla osób z wymienionymi w pkt 1 ograniczeniami funkcjonalnymi. Dyrektywa </w:t>
            </w:r>
            <w:r>
              <w:rPr>
                <w:rFonts w:ascii="Times New Roman" w:hAnsi="Times New Roman"/>
                <w:color w:val="000000"/>
              </w:rPr>
              <w:t xml:space="preserve">2016/2102/UE znacząco rozszerza zakres podmiotowy jednostek zobligowanych do dostosowania stron internetowych i aplikacji mobilnych do normy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EN 301 549 V1.1.2 (2015-04) w sekcji 9 (Strony www), 10 (dokumenty nie będące integralną częścią strony internetowej) oraz 11 (Oprogramowanie)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normy</w:t>
            </w:r>
            <w:r>
              <w:rPr>
                <w:rFonts w:ascii="Times New Roman" w:hAnsi="Times New Roman"/>
                <w:color w:val="000000"/>
              </w:rPr>
              <w:t xml:space="preserve">  (w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Polsce realizowana za pomocą wytycznych WCAG 2.0 </w:t>
            </w:r>
            <w:proofErr w:type="gramStart"/>
            <w:r>
              <w:rPr>
                <w:rFonts w:ascii="Times New Roman" w:hAnsi="Times New Roman"/>
                <w:color w:val="000000"/>
              </w:rPr>
              <w:t>na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poziomie AA), oraz wprowadza nowe obowiązki sprawozdawcze dla tych organów oraz dla Państwa, wobec Komisji Europejskiej.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Nowe rozwiązania zawarte w dyrektywie 2016/2102/UE, rekomendowane przez Komisję Europejską, polegają na wprowadzeniu mechanizmu autorefleksji (tj. obowiązku publikowania przez podmioty publiczne oświadczeń o dostępności), monitoringu i raportowania. Nakłada ona także na Państwa Członkowskie obowiązki związane z promocją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szkoleń mających na celu naukę tworzenia i aktualizowania dostępnych stron i treści zawartych na stronach internetowych i aplikacji mobilnych. </w:t>
            </w:r>
          </w:p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Rozwiązania przyjęte w projekcie ustawy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powinny zatem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przyczynić się do jeszcze większego wzrostu dostępności stron internetowych i aplikacji mobilnych podmiotów publicznych realizujących zadania publiczne, w szczególności dla osób z wymienionymi w pkt 1 </w:t>
            </w:r>
            <w:r w:rsidRPr="00556389">
              <w:rPr>
                <w:rFonts w:ascii="Times New Roman" w:hAnsi="Times New Roman"/>
                <w:color w:val="000000"/>
                <w:spacing w:val="-2"/>
              </w:rPr>
              <w:t>ograniczeniami funkcjonalnymi</w:t>
            </w:r>
            <w:r>
              <w:rPr>
                <w:rFonts w:ascii="Times New Roman" w:hAnsi="Times New Roman"/>
                <w:color w:val="000000"/>
                <w:spacing w:val="-2"/>
              </w:rPr>
              <w:t>, co w efekcie spowoduje wzrost odsetka osób deklarujących korzystanie z serwisów internetowych organów publicznych.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65A2">
              <w:rPr>
                <w:rFonts w:ascii="Times New Roman" w:hAnsi="Times New Roman"/>
                <w:color w:val="000000"/>
              </w:rPr>
              <w:t xml:space="preserve">W ramach </w:t>
            </w:r>
            <w:r>
              <w:rPr>
                <w:rFonts w:ascii="Times New Roman" w:hAnsi="Times New Roman"/>
                <w:color w:val="000000"/>
              </w:rPr>
              <w:t>projektu ustawy</w:t>
            </w:r>
            <w:r w:rsidRPr="002F65A2">
              <w:rPr>
                <w:rFonts w:ascii="Times New Roman" w:hAnsi="Times New Roman"/>
                <w:color w:val="000000"/>
              </w:rPr>
              <w:t xml:space="preserve"> dostępność należy </w:t>
            </w:r>
            <w:proofErr w:type="gramStart"/>
            <w:r w:rsidRPr="002F65A2">
              <w:rPr>
                <w:rFonts w:ascii="Times New Roman" w:hAnsi="Times New Roman"/>
                <w:color w:val="000000"/>
              </w:rPr>
              <w:t>rozumieć jako</w:t>
            </w:r>
            <w:proofErr w:type="gramEnd"/>
            <w:r w:rsidRPr="002F65A2">
              <w:rPr>
                <w:rFonts w:ascii="Times New Roman" w:hAnsi="Times New Roman"/>
                <w:color w:val="000000"/>
              </w:rPr>
              <w:t xml:space="preserve"> zasady i techniki, jakie powinno się stosować przy projektowaniu, tworzeniu, utrzymywaniu i aktualizowaniu stron internetowych oraz aplikacji mobilnych, tak by były </w:t>
            </w:r>
            <w:r>
              <w:rPr>
                <w:rFonts w:ascii="Times New Roman" w:hAnsi="Times New Roman"/>
                <w:color w:val="000000"/>
              </w:rPr>
              <w:t xml:space="preserve">one </w:t>
            </w:r>
            <w:r w:rsidRPr="002F65A2">
              <w:rPr>
                <w:rFonts w:ascii="Times New Roman" w:hAnsi="Times New Roman"/>
                <w:color w:val="000000"/>
              </w:rPr>
              <w:t xml:space="preserve">bardziej </w:t>
            </w:r>
            <w:r w:rsidRPr="007A267B">
              <w:rPr>
                <w:rFonts w:ascii="Times New Roman" w:hAnsi="Times New Roman"/>
                <w:color w:val="000000" w:themeColor="text1"/>
              </w:rPr>
              <w:t xml:space="preserve">przystępne </w:t>
            </w:r>
            <w:r w:rsidRPr="002F65A2">
              <w:rPr>
                <w:rFonts w:ascii="Times New Roman" w:hAnsi="Times New Roman"/>
                <w:color w:val="000000"/>
              </w:rPr>
              <w:t>dla użytkowników.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Według danych GUS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>
              <w:rPr>
                <w:rFonts w:ascii="Times New Roman" w:hAnsi="Times New Roman"/>
                <w:color w:val="000000"/>
              </w:rPr>
              <w:t xml:space="preserve"> w 2015 r. tylko 44,4% stron urzędów administracji publicznej posiadało stronę zgodną ze standardem WCAG 2.0 </w:t>
            </w:r>
            <w:proofErr w:type="gramStart"/>
            <w:r>
              <w:rPr>
                <w:rFonts w:ascii="Times New Roman" w:hAnsi="Times New Roman"/>
                <w:color w:val="000000"/>
              </w:rPr>
              <w:t>na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poziomie AA. Natomiast wg badań przeprowadzonych w 2017 roku przez Fundację Widzialni procent ten wynosi 47,8% z badanej próby (</w:t>
            </w:r>
            <w:hyperlink r:id="rId11" w:history="1">
              <w:r w:rsidRPr="00211FD8">
                <w:rPr>
                  <w:rStyle w:val="Hipercze"/>
                  <w:rFonts w:ascii="Times New Roman" w:hAnsi="Times New Roman"/>
                </w:rPr>
                <w:t>http://widzialni.org/wyniki-raportu-dostepnosci-2017,new,mg,6,306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). </w:t>
            </w:r>
          </w:p>
        </w:tc>
      </w:tr>
      <w:tr w:rsidR="0000120A" w:rsidRPr="008B4FE6" w:rsidTr="00EC684E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D70927">
              <w:rPr>
                <w:rFonts w:ascii="Times New Roman" w:hAnsi="Times New Roman"/>
                <w:b/>
                <w:bCs/>
                <w:color w:val="000000"/>
              </w:rPr>
              <w:t>?</w:t>
            </w:r>
            <w:r w:rsidRPr="00D709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00120A" w:rsidRPr="00E5277B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W Unii Europejskiej nie było do tej pory jednego standardu i jednego sposobu adresowania kwestii dostępności stron internetowych i aplikacji mobilnych. W </w:t>
            </w:r>
            <w:r w:rsidR="00415EA7">
              <w:rPr>
                <w:rFonts w:ascii="Times New Roman" w:hAnsi="Times New Roman"/>
                <w:color w:val="000000"/>
                <w:spacing w:val="-2"/>
              </w:rPr>
              <w:t>państwach członkowskich</w:t>
            </w:r>
            <w:r w:rsidR="00415EA7" w:rsidRPr="00231D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Unii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Europejskiej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wypracowane zostały różne podejścia.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Pr="001227C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Najbliższe do sytuacji w Polsce podejście zastosowała </w:t>
            </w:r>
            <w:r w:rsidRPr="001227C9">
              <w:rPr>
                <w:rFonts w:ascii="Times New Roman" w:hAnsi="Times New Roman"/>
                <w:b/>
                <w:color w:val="000000"/>
                <w:spacing w:val="-2"/>
              </w:rPr>
              <w:t>Litwa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, która dokonała tłumaczenia i przyjęcia normy europejskiej EN 301 549 V1.1.2 (2015-04)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włączając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do porządku prawnego obowiązek stosowania jej przez wszystkie podmioty wydatkujące pieniądze publiczne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 (w Polsce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wytyczne tej normy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>wdrożon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zostały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>w rozporządzeniu KRI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postaci wymogu spełnienia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>WCAG 2.0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poziomie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AA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>Dostępność</w:t>
            </w:r>
            <w:proofErr w:type="gramEnd"/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 stron internetowych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mierzona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 xml:space="preserve"> jest w procentach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(badane jest spełnienie poszczególnych wymagań normy)</w:t>
            </w:r>
            <w:r w:rsidRPr="00231DEB">
              <w:rPr>
                <w:rFonts w:ascii="Times New Roman" w:hAnsi="Times New Roman"/>
                <w:color w:val="000000"/>
                <w:spacing w:val="-2"/>
              </w:rPr>
              <w:t>. Najwyższy standard powyżej 95% zgodności spełnia 13</w:t>
            </w:r>
            <w:r>
              <w:rPr>
                <w:rFonts w:ascii="Times New Roman" w:hAnsi="Times New Roman"/>
                <w:color w:val="000000"/>
                <w:spacing w:val="-2"/>
              </w:rPr>
              <w:t>%</w:t>
            </w:r>
            <w:r w:rsidRPr="00231DEB">
              <w:rPr>
                <w:rFonts w:ascii="Times New Roman" w:hAnsi="Times New Roman"/>
              </w:rPr>
              <w:t xml:space="preserve"> stron administracji centralnej, a powyżej 70% zgodności reprezentuje już 86% urzędów.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 w:rsidRPr="00231DEB">
              <w:rPr>
                <w:rFonts w:ascii="Times New Roman" w:hAnsi="Times New Roman"/>
              </w:rPr>
              <w:t xml:space="preserve">Podobne podejście stosuje </w:t>
            </w:r>
            <w:r w:rsidRPr="001227C9">
              <w:rPr>
                <w:rFonts w:ascii="Times New Roman" w:hAnsi="Times New Roman"/>
                <w:b/>
              </w:rPr>
              <w:t>Słowacja</w:t>
            </w:r>
            <w:r w:rsidRPr="00231DEB">
              <w:rPr>
                <w:rFonts w:ascii="Times New Roman" w:hAnsi="Times New Roman"/>
              </w:rPr>
              <w:t xml:space="preserve">. Oba te kraje opracowały własną metodykę badawczą (np. </w:t>
            </w:r>
            <w:r w:rsidRPr="00535DFE">
              <w:rPr>
                <w:rFonts w:ascii="Times New Roman" w:hAnsi="Times New Roman"/>
              </w:rPr>
              <w:t>http</w:t>
            </w:r>
            <w:proofErr w:type="gramStart"/>
            <w:r w:rsidRPr="00535DFE">
              <w:rPr>
                <w:rFonts w:ascii="Times New Roman" w:hAnsi="Times New Roman"/>
              </w:rPr>
              <w:t>://www</w:t>
            </w:r>
            <w:proofErr w:type="gramEnd"/>
            <w:r w:rsidRPr="00535DFE">
              <w:rPr>
                <w:rFonts w:ascii="Times New Roman" w:hAnsi="Times New Roman"/>
              </w:rPr>
              <w:t>.</w:t>
            </w:r>
            <w:proofErr w:type="gramStart"/>
            <w:r w:rsidRPr="00535DFE">
              <w:rPr>
                <w:rFonts w:ascii="Times New Roman" w:hAnsi="Times New Roman"/>
              </w:rPr>
              <w:t>informatizacia</w:t>
            </w:r>
            <w:proofErr w:type="gramEnd"/>
            <w:r w:rsidRPr="00535DFE">
              <w:rPr>
                <w:rFonts w:ascii="Times New Roman" w:hAnsi="Times New Roman"/>
              </w:rPr>
              <w:t>.sk/pristupnost---</w:t>
            </w:r>
            <w:proofErr w:type="spellStart"/>
            <w:r w:rsidRPr="00535DFE">
              <w:rPr>
                <w:rFonts w:ascii="Times New Roman" w:hAnsi="Times New Roman"/>
              </w:rPr>
              <w:t>metodika-monitorovania</w:t>
            </w:r>
            <w:proofErr w:type="spellEnd"/>
            <w:r w:rsidRPr="00535DFE">
              <w:rPr>
                <w:rFonts w:ascii="Times New Roman" w:hAnsi="Times New Roman"/>
              </w:rPr>
              <w:t>/4455s</w:t>
            </w:r>
            <w:r w:rsidRPr="00231DEB">
              <w:rPr>
                <w:rFonts w:ascii="Times New Roman" w:hAnsi="Times New Roman"/>
              </w:rPr>
              <w:t>) oraz automatyczne narzędzia wspierające realizacj</w:t>
            </w:r>
            <w:r>
              <w:rPr>
                <w:rFonts w:ascii="Times New Roman" w:hAnsi="Times New Roman"/>
              </w:rPr>
              <w:t>ę</w:t>
            </w:r>
            <w:r w:rsidRPr="00231DEB">
              <w:rPr>
                <w:rFonts w:ascii="Times New Roman" w:hAnsi="Times New Roman"/>
              </w:rPr>
              <w:t xml:space="preserve"> monitoringu (Litwa wykorzystuje narzędzie dostępne pod adresem </w:t>
            </w:r>
            <w:r w:rsidRPr="00972B18">
              <w:rPr>
                <w:rFonts w:ascii="Times New Roman" w:hAnsi="Times New Roman"/>
              </w:rPr>
              <w:t>http</w:t>
            </w:r>
            <w:proofErr w:type="gramStart"/>
            <w:r w:rsidRPr="00972B18">
              <w:rPr>
                <w:rFonts w:ascii="Times New Roman" w:hAnsi="Times New Roman"/>
              </w:rPr>
              <w:t>://checkers</w:t>
            </w:r>
            <w:proofErr w:type="gramEnd"/>
            <w:r w:rsidRPr="00972B18">
              <w:rPr>
                <w:rFonts w:ascii="Times New Roman" w:hAnsi="Times New Roman"/>
              </w:rPr>
              <w:t>.</w:t>
            </w:r>
            <w:proofErr w:type="gramStart"/>
            <w:r w:rsidRPr="00972B18">
              <w:rPr>
                <w:rFonts w:ascii="Times New Roman" w:hAnsi="Times New Roman"/>
              </w:rPr>
              <w:t>eiii</w:t>
            </w:r>
            <w:proofErr w:type="gramEnd"/>
            <w:r w:rsidRPr="00972B18">
              <w:rPr>
                <w:rFonts w:ascii="Times New Roman" w:hAnsi="Times New Roman"/>
              </w:rPr>
              <w:t>.</w:t>
            </w:r>
            <w:proofErr w:type="gramStart"/>
            <w:r w:rsidRPr="00972B18">
              <w:rPr>
                <w:rFonts w:ascii="Times New Roman" w:hAnsi="Times New Roman"/>
              </w:rPr>
              <w:t>eu</w:t>
            </w:r>
            <w:proofErr w:type="gramEnd"/>
            <w:r w:rsidRPr="00972B18">
              <w:rPr>
                <w:rFonts w:ascii="Times New Roman" w:hAnsi="Times New Roman"/>
              </w:rPr>
              <w:t>/en/pagecheck2.0/</w:t>
            </w:r>
            <w:r w:rsidRPr="00231DEB">
              <w:rPr>
                <w:rFonts w:ascii="Times New Roman" w:hAnsi="Times New Roman"/>
              </w:rPr>
              <w:t xml:space="preserve">).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0120A" w:rsidRPr="00D114A7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Hiszpania</w:t>
            </w:r>
            <w:r>
              <w:rPr>
                <w:rFonts w:ascii="Times New Roman" w:hAnsi="Times New Roman"/>
              </w:rPr>
              <w:t xml:space="preserve"> stosuje najbardziej systemowe podejście do kwestii dostępności. W 2008 roku wdrożone zostało wymaganie zgodności z WCAG 1.0, </w:t>
            </w:r>
            <w:proofErr w:type="gramStart"/>
            <w:r>
              <w:rPr>
                <w:rFonts w:ascii="Times New Roman" w:hAnsi="Times New Roman"/>
              </w:rPr>
              <w:t>natomiast</w:t>
            </w:r>
            <w:proofErr w:type="gramEnd"/>
            <w:r>
              <w:rPr>
                <w:rFonts w:ascii="Times New Roman" w:hAnsi="Times New Roman"/>
              </w:rPr>
              <w:t xml:space="preserve"> od 2012 roku z WCAG 2.0</w:t>
            </w:r>
            <w:r>
              <w:rPr>
                <w:rStyle w:val="Odwoanieprzypisudolnego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</w:rPr>
              <w:t>. Wymogiem tym objęte zostało ponad 50 000 stron organów publicznych. W celu monitoringu realizacji tego obowiązku, Hiszpania wdrożyła zautomatyzowany mechanizm weryfikacji, który udostępnia również publicznie razem z kodem źródłowym</w:t>
            </w:r>
            <w:r>
              <w:rPr>
                <w:rStyle w:val="Odwoanieprzypisudolnego"/>
                <w:rFonts w:ascii="Times New Roman" w:hAnsi="Times New Roman"/>
              </w:rPr>
              <w:footnoteReference w:id="4"/>
            </w:r>
            <w:r>
              <w:rPr>
                <w:rFonts w:ascii="Times New Roman" w:hAnsi="Times New Roman"/>
              </w:rPr>
              <w:t>. Raporty z badań są dostępne dla organów publicznych do wewnętrznego zastosowania, natomiast w różnych okresach czasu wydawany jest zbiorczy raport publiczny</w:t>
            </w:r>
            <w:r>
              <w:rPr>
                <w:rStyle w:val="Odwoanieprzypisudolnego"/>
                <w:rFonts w:ascii="Times New Roman" w:hAnsi="Times New Roman"/>
              </w:rPr>
              <w:footnoteReference w:id="5"/>
            </w:r>
            <w:r>
              <w:rPr>
                <w:rFonts w:ascii="Times New Roman" w:hAnsi="Times New Roman"/>
              </w:rPr>
              <w:t xml:space="preserve">. Hiszpania utworzyła również centrum promocji i szkoleń w zakresie dostępności - </w:t>
            </w:r>
            <w:r w:rsidRPr="009520D4">
              <w:rPr>
                <w:rFonts w:ascii="Times New Roman" w:hAnsi="Times New Roman"/>
              </w:rPr>
              <w:t xml:space="preserve">Web Accessibility </w:t>
            </w:r>
            <w:proofErr w:type="spellStart"/>
            <w:r w:rsidRPr="009520D4">
              <w:rPr>
                <w:rFonts w:ascii="Times New Roman" w:hAnsi="Times New Roman"/>
              </w:rPr>
              <w:t>Observatory</w:t>
            </w:r>
            <w:proofErr w:type="spellEnd"/>
            <w:r>
              <w:rPr>
                <w:rFonts w:ascii="Times New Roman" w:hAnsi="Times New Roman"/>
              </w:rPr>
              <w:t xml:space="preserve">. Zadaniem takiego centrum jest monitorowanie stanu dostępności stron organów publicznych i publikacja raportów na ten temat; udostępnianie narzędzi wspierających testowanie zgodności oraz wprowadzanie poprawek; szkolenia; publikacja przewodników, instruktaży, materiałów edukacyjnych; animowanie spotkań i wymianę wiedzy między lokalnymi liderami dostępności, działającymi w poszczególnych jednostkach administracji. W 2017 roku Web Accessibility </w:t>
            </w:r>
            <w:proofErr w:type="spellStart"/>
            <w:r>
              <w:rPr>
                <w:rFonts w:ascii="Times New Roman" w:hAnsi="Times New Roman"/>
              </w:rPr>
              <w:t>Observatory</w:t>
            </w:r>
            <w:proofErr w:type="spellEnd"/>
            <w:r>
              <w:rPr>
                <w:rFonts w:ascii="Times New Roman" w:hAnsi="Times New Roman"/>
              </w:rPr>
              <w:t xml:space="preserve"> opublikowało informacje wskazujące, że w porównaniu do roku poprzedniego, 25% stron, dla których wskazane zostały szczegółowe analizy, poprawiło swoją dostępność.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 w:rsidRPr="001227C9">
              <w:rPr>
                <w:rFonts w:ascii="Times New Roman" w:hAnsi="Times New Roman"/>
                <w:b/>
              </w:rPr>
              <w:t>Francja</w:t>
            </w:r>
            <w:r w:rsidRPr="00231DEB">
              <w:rPr>
                <w:rFonts w:ascii="Times New Roman" w:hAnsi="Times New Roman"/>
              </w:rPr>
              <w:t xml:space="preserve"> wdrożył</w:t>
            </w:r>
            <w:r>
              <w:rPr>
                <w:rFonts w:ascii="Times New Roman" w:hAnsi="Times New Roman"/>
              </w:rPr>
              <w:t>a</w:t>
            </w:r>
            <w:r w:rsidRPr="00231DEB">
              <w:rPr>
                <w:rFonts w:ascii="Times New Roman" w:hAnsi="Times New Roman"/>
              </w:rPr>
              <w:t xml:space="preserve"> wymagania dotyczące stosowania się do standardów dostępności, jednak nie wdrożył</w:t>
            </w:r>
            <w:r>
              <w:rPr>
                <w:rFonts w:ascii="Times New Roman" w:hAnsi="Times New Roman"/>
              </w:rPr>
              <w:t>a</w:t>
            </w:r>
            <w:r w:rsidRPr="00231DEB">
              <w:rPr>
                <w:rFonts w:ascii="Times New Roman" w:hAnsi="Times New Roman"/>
              </w:rPr>
              <w:t xml:space="preserve"> metodyk monitoringu</w:t>
            </w:r>
            <w:r>
              <w:rPr>
                <w:rFonts w:ascii="Times New Roman" w:hAnsi="Times New Roman"/>
              </w:rPr>
              <w:t>,</w:t>
            </w:r>
            <w:r w:rsidRPr="00231DEB">
              <w:rPr>
                <w:rFonts w:ascii="Times New Roman" w:hAnsi="Times New Roman"/>
              </w:rPr>
              <w:t xml:space="preserve"> przez co nie </w:t>
            </w:r>
            <w:r>
              <w:rPr>
                <w:rFonts w:ascii="Times New Roman" w:hAnsi="Times New Roman"/>
              </w:rPr>
              <w:t>jest</w:t>
            </w:r>
            <w:r w:rsidRPr="00231DEB">
              <w:rPr>
                <w:rFonts w:ascii="Times New Roman" w:hAnsi="Times New Roman"/>
              </w:rPr>
              <w:t xml:space="preserve"> w stanie określić poziomu dostosowania się organów publicznych do wymagań legislacyjnych.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0120A" w:rsidRPr="00CA75AA" w:rsidRDefault="0000120A" w:rsidP="00EC68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Grecja </w:t>
            </w:r>
            <w:r w:rsidRPr="001227C9">
              <w:rPr>
                <w:rFonts w:ascii="Times New Roman" w:hAnsi="Times New Roman"/>
              </w:rPr>
              <w:t>wdr</w:t>
            </w:r>
            <w:r>
              <w:rPr>
                <w:rFonts w:ascii="Times New Roman" w:hAnsi="Times New Roman"/>
              </w:rPr>
              <w:t>oży</w:t>
            </w:r>
            <w:r w:rsidRPr="001227C9">
              <w:rPr>
                <w:rFonts w:ascii="Times New Roman" w:hAnsi="Times New Roman"/>
              </w:rPr>
              <w:t xml:space="preserve"> przepi</w:t>
            </w:r>
            <w:r>
              <w:rPr>
                <w:rFonts w:ascii="Times New Roman" w:hAnsi="Times New Roman"/>
              </w:rPr>
              <w:t xml:space="preserve">sy dotyczące dostępności stron www i aplikacji mobilnych razem z dyrektywą </w:t>
            </w:r>
            <w:r w:rsidRPr="00A20D21">
              <w:rPr>
                <w:rFonts w:ascii="Times New Roman" w:hAnsi="Times New Roman"/>
              </w:rPr>
              <w:t>2016/2102/UE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00120A" w:rsidRPr="008B4FE6" w:rsidTr="00EC684E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>Podmioty, na które oddziałuje projekt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8B4FE6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Pr="008B4FE6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8B4FE6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8B4FE6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0120A" w:rsidRPr="00A97C7E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Podmioty publiczne z wyłączeniem Ministra właściwego do spraw informatyzacji, służb </w:t>
            </w:r>
            <w:r>
              <w:rPr>
                <w:rFonts w:ascii="Times New Roman" w:hAnsi="Times New Roman"/>
                <w:color w:val="0D0D0D" w:themeColor="text1" w:themeTint="F2"/>
              </w:rPr>
              <w:lastRenderedPageBreak/>
              <w:t>specjalnych, Kancelarii Sejmu, Kancelarii Senatu, Kancelarii Prezydenta RP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 tym: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1) organy władzy, administracji rządowej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Pr="007B0AF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2) organy kontroli państwowej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i ochrony prawa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3) sądy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i trybunaty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4) wspólnoty samorządowe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5) jednostki budżetowe (z wy</w:t>
            </w:r>
            <w:r>
              <w:rPr>
                <w:rFonts w:ascii="Times New Roman" w:hAnsi="Times New Roman"/>
                <w:color w:val="0D0D0D" w:themeColor="text1" w:themeTint="F2"/>
              </w:rPr>
              <w:t>łączeniem SFP= 401, 402, 406)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spacing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5) samorządowe zakłady budżetowe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7) instytucje gospodarki </w:t>
            </w:r>
            <w:r>
              <w:rPr>
                <w:rFonts w:ascii="Times New Roman" w:hAnsi="Times New Roman"/>
                <w:color w:val="0D0D0D" w:themeColor="text1" w:themeTint="F2"/>
              </w:rPr>
              <w:t>budżetowej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8) fundusze -własność </w:t>
            </w:r>
            <w:r>
              <w:rPr>
                <w:rFonts w:ascii="Times New Roman" w:hAnsi="Times New Roman"/>
                <w:color w:val="0D0D0D" w:themeColor="text1" w:themeTint="F2"/>
              </w:rPr>
              <w:t>S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karbu </w:t>
            </w:r>
            <w:r>
              <w:rPr>
                <w:rFonts w:ascii="Times New Roman" w:hAnsi="Times New Roman"/>
                <w:color w:val="0D0D0D" w:themeColor="text1" w:themeTint="F2"/>
              </w:rPr>
              <w:t>P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</w:rPr>
              <w:t>ń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stwa lub własność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państwowych 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osób prawnych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9) Zakład Ubezpiecze</w:t>
            </w:r>
            <w:r>
              <w:rPr>
                <w:rFonts w:ascii="Times New Roman" w:hAnsi="Times New Roman"/>
                <w:color w:val="0D0D0D" w:themeColor="text1" w:themeTint="F2"/>
              </w:rPr>
              <w:t>ń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Społecznych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10) Kasa Rolniczego Ubezpieczenia Społecznego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11) Narodowy Fundusz Zdrowia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12) samodzielne publiczne zakłady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opieki zdrowotnej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13) uczelnie - własność </w:t>
            </w:r>
            <w:r>
              <w:rPr>
                <w:rFonts w:ascii="Times New Roman" w:hAnsi="Times New Roman"/>
                <w:color w:val="0D0D0D" w:themeColor="text1" w:themeTint="F2"/>
              </w:rPr>
              <w:t>S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karbu </w:t>
            </w:r>
            <w:r>
              <w:rPr>
                <w:rFonts w:ascii="Times New Roman" w:hAnsi="Times New Roman"/>
                <w:color w:val="0D0D0D" w:themeColor="text1" w:themeTint="F2"/>
              </w:rPr>
              <w:t>P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>aństwa lub własność państwowych osób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prawnych -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14) Polska Akademia Nauk 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15) instytuty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Polskiej Akademii Nauk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lastRenderedPageBreak/>
              <w:t>16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>) instytucje kultury - własność Skarbu Państwa lub własność państwowych osób prawnych lub własność jednostek samorządu terytorialnego lub samorządowych osób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prawnych 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00120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00120A" w:rsidRPr="007B0AFA" w:rsidRDefault="0000120A" w:rsidP="00EC684E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</w:rPr>
              <w:t>7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) samorządowe osoby prawne w rozumieniu art. 9 pkt 14 ustawy z </w:t>
            </w:r>
            <w:r>
              <w:rPr>
                <w:rFonts w:ascii="Times New Roman" w:hAnsi="Times New Roman"/>
                <w:color w:val="0D0D0D" w:themeColor="text1" w:themeTint="F2"/>
              </w:rPr>
              <w:t>dnia</w:t>
            </w:r>
            <w:r w:rsidRPr="007B0AFA">
              <w:rPr>
                <w:rFonts w:ascii="Times New Roman" w:hAnsi="Times New Roman"/>
                <w:color w:val="0D0D0D" w:themeColor="text1" w:themeTint="F2"/>
              </w:rPr>
              <w:t xml:space="preserve"> 27 sierpnia 2009 o finansach </w:t>
            </w:r>
          </w:p>
          <w:p w:rsidR="0000120A" w:rsidRPr="00A97C7E" w:rsidRDefault="0000120A" w:rsidP="00EC684E">
            <w:proofErr w:type="gramStart"/>
            <w:r>
              <w:rPr>
                <w:rFonts w:ascii="Times New Roman" w:hAnsi="Times New Roman"/>
                <w:color w:val="0D0D0D" w:themeColor="text1" w:themeTint="F2"/>
              </w:rPr>
              <w:t>publicznych</w:t>
            </w:r>
            <w:proofErr w:type="gramEnd"/>
          </w:p>
        </w:tc>
        <w:tc>
          <w:tcPr>
            <w:tcW w:w="2292" w:type="dxa"/>
            <w:gridSpan w:val="8"/>
            <w:shd w:val="clear" w:color="auto" w:fill="auto"/>
          </w:tcPr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A2E5A">
              <w:rPr>
                <w:rFonts w:ascii="Times New Roman" w:hAnsi="Times New Roman"/>
                <w:color w:val="0D0D0D" w:themeColor="text1" w:themeTint="F2"/>
                <w:spacing w:val="-2"/>
              </w:rPr>
              <w:lastRenderedPageBreak/>
              <w:t>647</w:t>
            </w: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64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W tym: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2758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111,</w:t>
            </w:r>
          </w:p>
          <w:p w:rsidR="0000120A" w:rsidRPr="00AC4042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  <w:sz w:val="8"/>
              </w:rPr>
            </w:pPr>
          </w:p>
          <w:p w:rsidR="0000120A" w:rsidRPr="00AC4042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z w:val="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301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3027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51146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1343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15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7B0AFA">
              <w:rPr>
                <w:rFonts w:ascii="Times New Roman" w:hAnsi="Times New Roman"/>
                <w:color w:val="0D0D0D" w:themeColor="text1" w:themeTint="F2"/>
              </w:rPr>
              <w:t>6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1306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133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lastRenderedPageBreak/>
              <w:t>37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4568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18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7B0AF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lastRenderedPageBreak/>
              <w:t>liczb</w:t>
            </w:r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podmiotów wpisanych w rejestrze REGON, według 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t>stanu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rejestru na dzień 30</w:t>
            </w:r>
            <w:r>
              <w:rPr>
                <w:rFonts w:ascii="Times New Roman" w:hAnsi="Times New Roman"/>
                <w:color w:val="000000"/>
              </w:rPr>
              <w:t xml:space="preserve"> kwietnia </w:t>
            </w:r>
            <w:r w:rsidRPr="007B0AFA">
              <w:rPr>
                <w:rFonts w:ascii="Times New Roman" w:hAnsi="Times New Roman"/>
                <w:color w:val="000000"/>
              </w:rPr>
              <w:t>2018 r.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6"/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zakresie publikacji oświadczeń o dostępności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>i rozpatrywania skarg obywateli.</w:t>
            </w: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0120A" w:rsidRPr="00A97C7E" w:rsidRDefault="0000120A" w:rsidP="00EC684E">
            <w:pPr>
              <w:rPr>
                <w:rFonts w:ascii="Times New Roman" w:hAnsi="Times New Roman"/>
              </w:rPr>
            </w:pPr>
          </w:p>
        </w:tc>
      </w:tr>
      <w:tr w:rsidR="0000120A" w:rsidRPr="00B37C80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251E6">
              <w:rPr>
                <w:rFonts w:ascii="Times New Roman" w:hAnsi="Times New Roman"/>
                <w:color w:val="000000"/>
              </w:rPr>
              <w:lastRenderedPageBreak/>
              <w:t>Spółki prawa handlowego, w których udział posiada Skarb Państwa</w:t>
            </w: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251E6">
              <w:rPr>
                <w:rFonts w:ascii="Times New Roman" w:hAnsi="Times New Roman"/>
                <w:color w:val="000000"/>
              </w:rPr>
              <w:t>- w których</w:t>
            </w:r>
            <w:proofErr w:type="gramEnd"/>
            <w:r w:rsidRPr="003251E6">
              <w:rPr>
                <w:rFonts w:ascii="Times New Roman" w:hAnsi="Times New Roman"/>
                <w:color w:val="000000"/>
              </w:rPr>
              <w:t xml:space="preserve"> prawa z akcji </w:t>
            </w:r>
            <w:r>
              <w:rPr>
                <w:rFonts w:ascii="Times New Roman" w:hAnsi="Times New Roman"/>
                <w:color w:val="000000"/>
              </w:rPr>
              <w:t>Skarbu Państwa</w:t>
            </w:r>
            <w:r w:rsidRPr="003251E6">
              <w:rPr>
                <w:rFonts w:ascii="Times New Roman" w:hAnsi="Times New Roman"/>
                <w:color w:val="000000"/>
              </w:rPr>
              <w:t xml:space="preserve"> wykonują </w:t>
            </w:r>
            <w:r>
              <w:rPr>
                <w:rFonts w:ascii="Times New Roman" w:hAnsi="Times New Roman"/>
                <w:color w:val="000000"/>
              </w:rPr>
              <w:t>inne osoby</w:t>
            </w:r>
            <w:r w:rsidRPr="003251E6">
              <w:rPr>
                <w:rFonts w:ascii="Times New Roman" w:hAnsi="Times New Roman"/>
                <w:color w:val="000000"/>
              </w:rPr>
              <w:t xml:space="preserve"> niż Prezes Rady Ministrów</w:t>
            </w: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3251E6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251E6">
              <w:rPr>
                <w:rFonts w:ascii="Times New Roman" w:hAnsi="Times New Roman"/>
                <w:color w:val="000000"/>
              </w:rPr>
              <w:t>- w których</w:t>
            </w:r>
            <w:proofErr w:type="gramEnd"/>
            <w:r w:rsidRPr="003251E6">
              <w:rPr>
                <w:rFonts w:ascii="Times New Roman" w:hAnsi="Times New Roman"/>
                <w:color w:val="000000"/>
              </w:rPr>
              <w:t xml:space="preserve"> prawa z akcji </w:t>
            </w:r>
            <w:r>
              <w:rPr>
                <w:rFonts w:ascii="Times New Roman" w:hAnsi="Times New Roman"/>
                <w:color w:val="000000"/>
              </w:rPr>
              <w:t>Skarbu Państwa</w:t>
            </w:r>
            <w:r w:rsidRPr="003251E6">
              <w:rPr>
                <w:rFonts w:ascii="Times New Roman" w:hAnsi="Times New Roman"/>
                <w:color w:val="000000"/>
              </w:rPr>
              <w:t xml:space="preserve"> wykonuje Prezes Rady Ministrów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tym: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CA2D92">
              <w:rPr>
                <w:rFonts w:ascii="Times New Roman" w:hAnsi="Times New Roman"/>
                <w:color w:val="000000"/>
              </w:rPr>
              <w:t>ozporządzenie Rady Ministrów z dnia 3 stycznia 2017 r. w sprawie wykazu spółek, w których prawa z akcji Skarbu Państwa wykonują inni niż Prezes Rady Ministrów członkowie Rady Ministrów, pełnomocnicy Rządu lub państwowe osoby prawne (</w:t>
            </w:r>
            <w:proofErr w:type="spellStart"/>
            <w:r w:rsidRPr="00CA2D92">
              <w:rPr>
                <w:rFonts w:ascii="Times New Roman" w:hAnsi="Times New Roman"/>
                <w:color w:val="000000"/>
              </w:rPr>
              <w:t>Dz.U</w:t>
            </w:r>
            <w:proofErr w:type="spellEnd"/>
            <w:r w:rsidRPr="00CA2D92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CA2D92">
              <w:rPr>
                <w:rFonts w:ascii="Times New Roman" w:hAnsi="Times New Roman"/>
                <w:color w:val="000000"/>
              </w:rPr>
              <w:t>z</w:t>
            </w:r>
            <w:proofErr w:type="gramEnd"/>
            <w:r w:rsidRPr="00CA2D92">
              <w:rPr>
                <w:rFonts w:ascii="Times New Roman" w:hAnsi="Times New Roman"/>
                <w:color w:val="000000"/>
              </w:rPr>
              <w:t xml:space="preserve"> 2017 r. poz. 10 z </w:t>
            </w:r>
            <w:proofErr w:type="spellStart"/>
            <w:r w:rsidRPr="00CA2D92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CA2D92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CA2D92">
              <w:rPr>
                <w:rFonts w:ascii="Times New Roman" w:hAnsi="Times New Roman"/>
                <w:color w:val="000000"/>
              </w:rPr>
              <w:t>zm</w:t>
            </w:r>
            <w:proofErr w:type="gramEnd"/>
            <w:r w:rsidRPr="00CA2D92">
              <w:rPr>
                <w:rFonts w:ascii="Times New Roman" w:hAnsi="Times New Roman"/>
                <w:color w:val="000000"/>
              </w:rPr>
              <w:t>.)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7"/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Wykaz spółek, dla których nadzór prowadzi Prezes Rady Ministrów, stan na dzień </w:t>
            </w:r>
            <w:r w:rsidRPr="00F44F5F">
              <w:rPr>
                <w:rFonts w:ascii="Times New Roman" w:hAnsi="Times New Roman"/>
                <w:color w:val="000000"/>
              </w:rPr>
              <w:t>19 grudnia 2017</w:t>
            </w:r>
            <w:r>
              <w:rPr>
                <w:rFonts w:ascii="Times New Roman" w:hAnsi="Times New Roman"/>
                <w:color w:val="000000"/>
              </w:rPr>
              <w:t xml:space="preserve"> r.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8"/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2E9A">
              <w:rPr>
                <w:rFonts w:ascii="Times New Roman" w:hAnsi="Times New Roman"/>
                <w:color w:val="000000"/>
                <w:spacing w:val="-2"/>
              </w:rPr>
              <w:t>W zakresie dostosowania stron intern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>towych i aplikacji mobilnych oraz publikacji oświadczeń o dostępności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0120A" w:rsidRPr="00A32E9A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3251E6" w:rsidDel="007A267B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251E6">
              <w:rPr>
                <w:rFonts w:ascii="Times New Roman" w:hAnsi="Times New Roman"/>
                <w:color w:val="000000"/>
              </w:rPr>
              <w:t>Przedsiębiorstwa państwowe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Del="007A267B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6E5C0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2A1F">
              <w:rPr>
                <w:rFonts w:ascii="Times New Roman" w:hAnsi="Times New Roman"/>
                <w:color w:val="000000"/>
              </w:rPr>
              <w:t>Wykaz przedsiębiorstw państwowych według stanu na dzień 30</w:t>
            </w:r>
            <w:r>
              <w:rPr>
                <w:rFonts w:ascii="Times New Roman" w:hAnsi="Times New Roman"/>
                <w:color w:val="000000"/>
              </w:rPr>
              <w:t xml:space="preserve"> września </w:t>
            </w:r>
            <w:r w:rsidRPr="001F2A1F">
              <w:rPr>
                <w:rFonts w:ascii="Times New Roman" w:hAnsi="Times New Roman"/>
                <w:color w:val="000000"/>
              </w:rPr>
              <w:t>2017 r.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9"/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A32E9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2E9A">
              <w:rPr>
                <w:rFonts w:ascii="Times New Roman" w:hAnsi="Times New Roman"/>
                <w:color w:val="000000"/>
                <w:spacing w:val="-2"/>
              </w:rPr>
              <w:t>W zakresie dostosowania stron intern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>towych i aplikacji mobilnych oraz publikacji oświadczeń o dostępności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0120A" w:rsidRPr="00B37C80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AC4042" w:rsidRDefault="0000120A" w:rsidP="00EC684E">
            <w:pPr>
              <w:tabs>
                <w:tab w:val="left" w:pos="1560"/>
              </w:tabs>
              <w:spacing w:line="240" w:lineRule="auto"/>
              <w:rPr>
                <w:rStyle w:val="Odwoaniedokomentarza"/>
              </w:rPr>
            </w:pPr>
            <w:r w:rsidRPr="00AC4042">
              <w:rPr>
                <w:rFonts w:ascii="Times New Roman" w:hAnsi="Times New Roman"/>
                <w:color w:val="000000"/>
              </w:rPr>
              <w:t>Służby specjalne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art</w:t>
            </w:r>
            <w:proofErr w:type="gramEnd"/>
            <w:r>
              <w:rPr>
                <w:rFonts w:ascii="Times New Roman" w:hAnsi="Times New Roman"/>
                <w:color w:val="000000"/>
              </w:rPr>
              <w:t>. 11 ustawy o ABW oraz AW</w:t>
            </w:r>
            <w:r w:rsidDel="006E5C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2E9A">
              <w:rPr>
                <w:rFonts w:ascii="Times New Roman" w:hAnsi="Times New Roman"/>
                <w:color w:val="000000"/>
                <w:spacing w:val="-2"/>
              </w:rPr>
              <w:t>W zakresie dostosowania stron intern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>towych i aplikacji mobilnych oraz publikacji oświadczeń o dostępności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0120A" w:rsidRPr="00A32E9A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AC4042" w:rsidDel="007A267B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C4042">
              <w:rPr>
                <w:rFonts w:ascii="Times New Roman" w:hAnsi="Times New Roman"/>
                <w:color w:val="000000"/>
              </w:rPr>
              <w:t>Kancelaria Sejmu, Kancelaria Senatu, Kancelaria Prezydenta, Narodowy Bank Polski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6E5C00" w:rsidDel="007A267B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A32E9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2E9A">
              <w:rPr>
                <w:rFonts w:ascii="Times New Roman" w:hAnsi="Times New Roman"/>
                <w:color w:val="000000"/>
                <w:spacing w:val="-2"/>
              </w:rPr>
              <w:t>W zakresie dostosowania stron intern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>towych i aplikacji mobilnych oraz publikacji oświadczeń o dostępności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0120A" w:rsidRPr="00A32E9A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785A8F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 właściwy do spraw informatyzacji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zakresie sprawowania funkcji organu odpowiedzialnego za promocję oraz sprawozdawczość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dostępności stron internetowych i aplikacji mobilnych sektora publicznego oraz w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 xml:space="preserve"> zakresie dostosowania stron intern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 xml:space="preserve">towych i aplikacji mobilnych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A32E9A">
              <w:rPr>
                <w:rFonts w:ascii="Times New Roman" w:hAnsi="Times New Roman"/>
                <w:color w:val="000000"/>
                <w:spacing w:val="-2"/>
              </w:rPr>
              <w:t xml:space="preserve"> publikacji oświadczeń o dostępności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00120A" w:rsidRPr="00A32E9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0120A" w:rsidRPr="00A32E9A" w:rsidTr="00EC684E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AC4042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4042">
              <w:rPr>
                <w:rFonts w:ascii="Times New Roman" w:hAnsi="Times New Roman"/>
                <w:color w:val="000000"/>
                <w:spacing w:val="-2"/>
              </w:rPr>
              <w:lastRenderedPageBreak/>
              <w:t>Podmioty, w których procentowy udział własności powyżej 50% posiada samorząd terytorialny lub</w:t>
            </w:r>
          </w:p>
          <w:p w:rsidR="0000120A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AC4042">
              <w:rPr>
                <w:rFonts w:ascii="Times New Roman" w:hAnsi="Times New Roman"/>
                <w:color w:val="000000"/>
                <w:spacing w:val="-2"/>
              </w:rPr>
              <w:t>samorządowe</w:t>
            </w:r>
            <w:proofErr w:type="gramEnd"/>
            <w:r w:rsidRPr="00AC4042">
              <w:rPr>
                <w:rFonts w:ascii="Times New Roman" w:hAnsi="Times New Roman"/>
                <w:color w:val="000000"/>
                <w:spacing w:val="-2"/>
              </w:rPr>
              <w:t xml:space="preserve"> osoby prawne.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E1BBC">
              <w:rPr>
                <w:rFonts w:ascii="Times New Roman" w:hAnsi="Times New Roman"/>
                <w:color w:val="000000"/>
              </w:rPr>
              <w:t>101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E1BBC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7B0AF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t>liczb</w:t>
            </w:r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podmiotów wpisanych w rejestrze REGON, według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t>stanu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rejestru na dzień 30</w:t>
            </w:r>
            <w:r>
              <w:rPr>
                <w:rFonts w:ascii="Times New Roman" w:hAnsi="Times New Roman"/>
                <w:color w:val="000000"/>
              </w:rPr>
              <w:t xml:space="preserve"> kwietnia </w:t>
            </w:r>
            <w:r w:rsidRPr="007B0AFA">
              <w:rPr>
                <w:rFonts w:ascii="Times New Roman" w:hAnsi="Times New Roman"/>
                <w:color w:val="000000"/>
              </w:rPr>
              <w:t>2018 r.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0"/>
            </w:r>
          </w:p>
        </w:tc>
        <w:tc>
          <w:tcPr>
            <w:tcW w:w="2991" w:type="dxa"/>
            <w:gridSpan w:val="7"/>
            <w:shd w:val="clear" w:color="auto" w:fill="auto"/>
          </w:tcPr>
          <w:p w:rsidR="0000120A" w:rsidRPr="006262A3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62A3">
              <w:rPr>
                <w:rFonts w:ascii="Times New Roman" w:hAnsi="Times New Roman"/>
                <w:color w:val="000000"/>
                <w:spacing w:val="-2"/>
              </w:rPr>
              <w:t xml:space="preserve">W zakresie publikacji oświadczeń o dostępności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6262A3">
              <w:rPr>
                <w:rFonts w:ascii="Times New Roman" w:hAnsi="Times New Roman"/>
                <w:color w:val="000000"/>
                <w:spacing w:val="-2"/>
              </w:rPr>
              <w:t>i</w:t>
            </w:r>
            <w:proofErr w:type="gramEnd"/>
            <w:r w:rsidRPr="006262A3">
              <w:rPr>
                <w:rFonts w:ascii="Times New Roman" w:hAnsi="Times New Roman"/>
                <w:color w:val="000000"/>
                <w:spacing w:val="-2"/>
              </w:rPr>
              <w:t xml:space="preserve"> rozpatrywania skarg obywateli przez organy właściwe.</w:t>
            </w:r>
          </w:p>
        </w:tc>
      </w:tr>
      <w:tr w:rsidR="0000120A" w:rsidRPr="00A32E9A" w:rsidTr="00EC684E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7B0AFA">
              <w:rPr>
                <w:rFonts w:ascii="Times New Roman" w:hAnsi="Times New Roman"/>
                <w:color w:val="000000"/>
                <w:spacing w:val="-2"/>
              </w:rPr>
              <w:t>odmiot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7B0AFA">
              <w:rPr>
                <w:rFonts w:ascii="Times New Roman" w:hAnsi="Times New Roman"/>
                <w:color w:val="000000"/>
                <w:spacing w:val="-2"/>
              </w:rPr>
              <w:t>, w których procentowy udział własności powyżej 50% posiadają państwowe osoby prawne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Pr="008E1BBC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B0AF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0AFA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7B0AFA" w:rsidRDefault="0000120A" w:rsidP="00EC684E">
            <w:pPr>
              <w:spacing w:before="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t>liczb</w:t>
            </w:r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podmiotów wpisanych w rejestrze REGON, według </w:t>
            </w:r>
          </w:p>
          <w:p w:rsidR="0000120A" w:rsidRPr="00D51803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7B0AFA">
              <w:rPr>
                <w:rFonts w:ascii="Times New Roman" w:hAnsi="Times New Roman"/>
                <w:color w:val="000000"/>
              </w:rPr>
              <w:t>stanu</w:t>
            </w:r>
            <w:proofErr w:type="gramEnd"/>
            <w:r w:rsidRPr="007B0AFA">
              <w:rPr>
                <w:rFonts w:ascii="Times New Roman" w:hAnsi="Times New Roman"/>
                <w:color w:val="000000"/>
              </w:rPr>
              <w:t xml:space="preserve"> rejestru na dzień 30</w:t>
            </w:r>
            <w:r>
              <w:rPr>
                <w:rFonts w:ascii="Times New Roman" w:hAnsi="Times New Roman"/>
                <w:color w:val="000000"/>
              </w:rPr>
              <w:t xml:space="preserve"> kwietnia </w:t>
            </w:r>
            <w:r w:rsidRPr="007B0AFA">
              <w:rPr>
                <w:rFonts w:ascii="Times New Roman" w:hAnsi="Times New Roman"/>
                <w:color w:val="000000"/>
              </w:rPr>
              <w:t>2018 r.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1"/>
            </w:r>
          </w:p>
        </w:tc>
        <w:tc>
          <w:tcPr>
            <w:tcW w:w="2991" w:type="dxa"/>
            <w:gridSpan w:val="7"/>
            <w:shd w:val="clear" w:color="auto" w:fill="auto"/>
          </w:tcPr>
          <w:p w:rsidR="0000120A" w:rsidRPr="006262A3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62A3">
              <w:rPr>
                <w:rFonts w:ascii="Times New Roman" w:hAnsi="Times New Roman"/>
                <w:color w:val="000000"/>
                <w:spacing w:val="-2"/>
              </w:rPr>
              <w:t xml:space="preserve">W zakresie publikacji oświadczeń o dostępności </w:t>
            </w:r>
          </w:p>
          <w:p w:rsidR="0000120A" w:rsidRPr="006262A3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6262A3">
              <w:rPr>
                <w:rFonts w:ascii="Times New Roman" w:hAnsi="Times New Roman"/>
                <w:color w:val="000000"/>
                <w:spacing w:val="-2"/>
              </w:rPr>
              <w:t>i</w:t>
            </w:r>
            <w:proofErr w:type="gramEnd"/>
            <w:r w:rsidRPr="006262A3">
              <w:rPr>
                <w:rFonts w:ascii="Times New Roman" w:hAnsi="Times New Roman"/>
                <w:color w:val="000000"/>
                <w:spacing w:val="-2"/>
              </w:rPr>
              <w:t xml:space="preserve"> rozpatrywania skarg obywateli przez organy właściwe.</w:t>
            </w:r>
          </w:p>
        </w:tc>
      </w:tr>
      <w:tr w:rsidR="0000120A" w:rsidRPr="00A32E9A" w:rsidTr="00EC684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0120A" w:rsidRPr="00785A8F" w:rsidRDefault="0000120A" w:rsidP="00EC684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Obywatele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Ok. 38 mln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0120A" w:rsidRPr="00DB369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Dane 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0120A" w:rsidRPr="00A32E9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ułatwienia korzystania ze stron internetowych i aplikacji mobilnych sektora publicznego.</w:t>
            </w:r>
          </w:p>
        </w:tc>
      </w:tr>
      <w:tr w:rsidR="0000120A" w:rsidRPr="008B4FE6" w:rsidTr="00EC684E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Informacje na temat zakresu, czasu trwania i podsumowanie wyników </w:t>
            </w:r>
            <w:r w:rsidRPr="00D70927">
              <w:rPr>
                <w:rFonts w:ascii="Times New Roman" w:hAnsi="Times New Roman"/>
                <w:b/>
                <w:bCs/>
                <w:color w:val="000000"/>
              </w:rPr>
              <w:t>konsultacji</w:t>
            </w:r>
          </w:p>
        </w:tc>
      </w:tr>
      <w:tr w:rsidR="0000120A" w:rsidRPr="008B4FE6" w:rsidTr="00EC684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ustawy zostanie udostępniony w Biuletynie Informacji Publicznej na stronie podmiotowej Rządowego Centrum Legislacji w zakładce „Rządowy Proces Legislacyjny” oraz w Biuletynie Informacji Publicznej na stronie podmiotowej Ministra Cyfryzacji, zgodnie z </w:t>
            </w:r>
            <w:r w:rsidRPr="003B0B75">
              <w:rPr>
                <w:rFonts w:ascii="Times New Roman" w:hAnsi="Times New Roman"/>
                <w:color w:val="000000"/>
                <w:spacing w:val="-2"/>
              </w:rPr>
              <w:t>art. 5 ustawy z dnia 7 lipca 2005 r. o działalności lobbingowej w procesie stanowienia pr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awa (Dz. U.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2017 r. poz. 248).</w:t>
            </w:r>
          </w:p>
        </w:tc>
      </w:tr>
      <w:tr w:rsidR="0000120A" w:rsidRPr="008B4FE6" w:rsidTr="00EC684E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 w:themeFill="background1"/>
          </w:tcPr>
          <w:p w:rsidR="0000120A" w:rsidRPr="00B35866" w:rsidRDefault="0000120A" w:rsidP="00EC684E">
            <w:pPr>
              <w:spacing w:before="40" w:after="4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 w:themeFill="background1"/>
          </w:tcPr>
          <w:p w:rsidR="0000120A" w:rsidRPr="001B2D13" w:rsidRDefault="0000120A" w:rsidP="00EC684E">
            <w:pPr>
              <w:spacing w:before="40" w:after="4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00120A" w:rsidRPr="00C53F26" w:rsidRDefault="0000120A" w:rsidP="00EC684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9" w:type="dxa"/>
            <w:gridSpan w:val="3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00120A" w:rsidRPr="001B2D13" w:rsidRDefault="0000120A" w:rsidP="00EC684E">
            <w:pPr>
              <w:spacing w:before="40" w:after="4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A32A04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415EA7" w:rsidRPr="008B4FE6" w:rsidTr="00BB6942">
        <w:trPr>
          <w:trHeight w:val="321"/>
        </w:trPr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Dochody ogółem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0,12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0,13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0,13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0,21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0,21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0,21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0,17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0,14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0,13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15EA7" w:rsidRPr="00D51803" w:rsidRDefault="00415EA7" w:rsidP="00415EA7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8E7C79">
              <w:t>1,45</w:t>
            </w:r>
          </w:p>
        </w:tc>
      </w:tr>
      <w:tr w:rsidR="00415EA7" w:rsidRPr="008B4FE6" w:rsidTr="00BB6942">
        <w:trPr>
          <w:trHeight w:val="321"/>
        </w:trPr>
        <w:tc>
          <w:tcPr>
            <w:tcW w:w="313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budżet</w:t>
            </w:r>
            <w:proofErr w:type="gramEnd"/>
            <w:r w:rsidRPr="008E7C79">
              <w:t xml:space="preserve"> państwa (kary pieniężne)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0,04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E7C79">
              <w:t>0,29</w:t>
            </w:r>
          </w:p>
        </w:tc>
      </w:tr>
      <w:tr w:rsidR="00415EA7" w:rsidRPr="008B4FE6" w:rsidTr="00BB6942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15EA7" w:rsidRPr="008B4FE6" w:rsidTr="00BB6942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pozostałe</w:t>
            </w:r>
            <w:proofErr w:type="gramEnd"/>
            <w:r w:rsidRPr="008E7C79"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15EA7" w:rsidRPr="00B37C80" w:rsidTr="00BB6942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PIT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0,18</w:t>
            </w:r>
          </w:p>
        </w:tc>
      </w:tr>
      <w:tr w:rsidR="00415EA7" w:rsidRPr="008B4FE6" w:rsidTr="00BB6942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Fundusz Ubezpieczeń Społecznych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0,71</w:t>
            </w:r>
          </w:p>
        </w:tc>
      </w:tr>
      <w:tr w:rsidR="00415EA7" w:rsidRPr="00B37C80" w:rsidTr="00BB6942">
        <w:trPr>
          <w:trHeight w:val="344"/>
        </w:trPr>
        <w:tc>
          <w:tcPr>
            <w:tcW w:w="313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 xml:space="preserve">Fundusz Pracy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0,09</w:t>
            </w:r>
          </w:p>
        </w:tc>
      </w:tr>
      <w:tr w:rsidR="00415EA7" w:rsidRPr="008B4FE6" w:rsidTr="00BB6942">
        <w:trPr>
          <w:trHeight w:val="330"/>
        </w:trPr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Narodowy Fundusz Zdrowia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0,02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0,18</w:t>
            </w:r>
          </w:p>
        </w:tc>
      </w:tr>
      <w:tr w:rsidR="00415EA7" w:rsidRPr="008B4FE6" w:rsidTr="00BB6942">
        <w:trPr>
          <w:trHeight w:val="330"/>
        </w:trPr>
        <w:tc>
          <w:tcPr>
            <w:tcW w:w="313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Wydatki ogółem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0,35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0,95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5866" w:rsidRDefault="00415EA7" w:rsidP="00415EA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C79">
              <w:t>1,10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10,10</w:t>
            </w:r>
          </w:p>
        </w:tc>
      </w:tr>
      <w:tr w:rsidR="00415EA7" w:rsidRPr="008B4FE6" w:rsidTr="00BB6942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budżet</w:t>
            </w:r>
            <w:proofErr w:type="gramEnd"/>
            <w:r w:rsidRPr="008E7C79">
              <w:t xml:space="preserve"> państwa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0,95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1,10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10,10</w:t>
            </w:r>
          </w:p>
        </w:tc>
      </w:tr>
      <w:tr w:rsidR="00415EA7" w:rsidRPr="008B4FE6" w:rsidTr="00BB6942">
        <w:trPr>
          <w:trHeight w:val="351"/>
        </w:trPr>
        <w:tc>
          <w:tcPr>
            <w:tcW w:w="313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JST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</w:tr>
      <w:tr w:rsidR="00415EA7" w:rsidRPr="008B4FE6" w:rsidTr="00BB6942">
        <w:trPr>
          <w:trHeight w:val="360"/>
        </w:trPr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pozostałe</w:t>
            </w:r>
            <w:proofErr w:type="gramEnd"/>
            <w:r w:rsidRPr="008E7C79">
              <w:t xml:space="preserve"> jednostki (oddzielnie)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15EA7" w:rsidRPr="008B4FE6" w:rsidTr="00BB6942">
        <w:trPr>
          <w:trHeight w:val="360"/>
        </w:trPr>
        <w:tc>
          <w:tcPr>
            <w:tcW w:w="313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lastRenderedPageBreak/>
              <w:t>Saldo ogółem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-0,35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-0,83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-0,97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-0,97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-0,89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-0,89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-0,89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-0,93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-0,96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-0,97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-8,65</w:t>
            </w:r>
          </w:p>
        </w:tc>
      </w:tr>
      <w:tr w:rsidR="00415EA7" w:rsidRPr="008B4FE6" w:rsidTr="00BB6942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budżet</w:t>
            </w:r>
            <w:proofErr w:type="gramEnd"/>
            <w:r w:rsidRPr="008E7C79"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2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</w:tr>
      <w:tr w:rsidR="00415EA7" w:rsidRPr="008B4FE6" w:rsidTr="00BB6942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29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</w:tr>
      <w:tr w:rsidR="00415EA7" w:rsidRPr="008B4FE6" w:rsidTr="00BB6942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pozostałe</w:t>
            </w:r>
            <w:proofErr w:type="gramEnd"/>
            <w:r w:rsidRPr="008E7C79">
              <w:t xml:space="preserve"> jednostki (oddzielnie)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15EA7" w:rsidRPr="008B4FE6" w:rsidTr="00BB6942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E7C79">
              <w:t>kary</w:t>
            </w:r>
            <w:proofErr w:type="gramEnd"/>
            <w:r w:rsidRPr="008E7C79">
              <w:t xml:space="preserve"> pieniężne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0,29</w:t>
            </w:r>
          </w:p>
        </w:tc>
      </w:tr>
      <w:tr w:rsidR="00415EA7" w:rsidRPr="008B4FE6" w:rsidTr="00BB6942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</w:tcPr>
          <w:p w:rsidR="00415EA7" w:rsidRPr="00C53F26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Fundusz Ubezpieczeń Społecznych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0,07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5EA7" w:rsidRPr="00B37C80" w:rsidRDefault="00415EA7" w:rsidP="00415EA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7C79">
              <w:t>0,69</w:t>
            </w:r>
          </w:p>
        </w:tc>
      </w:tr>
      <w:tr w:rsidR="0000120A" w:rsidRPr="008B4FE6" w:rsidTr="00EC684E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Koszty administracyjne związane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publikacją oświadczeń, 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obsługą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wniosków i skarg 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udostępnienie informacji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niedostępnych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będą pokrywane w ramach środków ujętych w planach finansowych objętych regulacją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podmiotów;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przypadku wydatków budżetu państwa, w ramach środków dostępnych we właściwych częściach budżetowych, a w przypadku wydatków jednostek samorządu terytorialnego, w ramach ich budżetów.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Ogółem wydatki nie będą stanowiły podstawy do ubiegania się o dodatkowe środki.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Wydatki przeznaczone na dostosowanie stron internetowych i aplikacji mobilnych do wymogów dostępności, będą ponoszone</w:t>
            </w:r>
            <w:r w:rsidRPr="00385E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ramach środków ujętych w planach finansowych objętych regulacją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podmiotów. Wymaganie to dla większości podmiotów nie jest nowe, gdyż zostało uregulowane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§ 19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rozporządzenia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KRI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w formie zgodności z WCAG 2.0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poziomie AA.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94F3D" w:rsidRDefault="00094F3D" w:rsidP="00094F3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Część 27-Informatyzacja - wydatki z budżetu państwa będą przeznaczone na promocję i szkolenia online, realizacje procedury monitoringu, dodatkowe zatrudnienie, przygotowanie raportów, tj. obowiązki wynikające z wymogów dyrektywy 2016/2102/UE.</w:t>
            </w:r>
          </w:p>
          <w:p w:rsidR="00094F3D" w:rsidRDefault="00094F3D" w:rsidP="00094F3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94F3D" w:rsidRDefault="00094F3D" w:rsidP="00094F3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Wydatki związane ze szkoleniami służby cywilnej oraz pracowników administracji samorządowej, przewidziane zostały w programie Dostępność Plus.</w:t>
            </w:r>
          </w:p>
          <w:p w:rsidR="002C0A8E" w:rsidRPr="00B37C80" w:rsidRDefault="002C0A8E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 w:themeFill="background1"/>
          </w:tcPr>
          <w:p w:rsidR="0000120A" w:rsidRPr="00C53F2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 w:themeFill="background1"/>
          </w:tcPr>
          <w:p w:rsidR="0000120A" w:rsidRPr="002069E6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sektorze finansów publicznych r</w:t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egulacją objętych jest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ponad</w:t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7A2E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647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74 podmiotów</w:t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w tym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  <w:r w:rsidRPr="001A3146" w:rsidDel="0027565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podmiotów wyłączonych na mocy przepisów art. 2 ustawy o informatyzacji</w:t>
            </w:r>
            <w:r>
              <w:rPr>
                <w:rStyle w:val="Odwoanieprzypisudolnego"/>
                <w:rFonts w:ascii="Times New Roman" w:hAnsi="Times New Roman"/>
                <w:color w:val="000000" w:themeColor="text1"/>
                <w:sz w:val="21"/>
                <w:szCs w:val="21"/>
              </w:rPr>
              <w:footnoteReference w:id="12"/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na których wcześniej nie ciążył obowiązek zapewnienia zgodności z normą dostępności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WCAG 2.0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poziomie AA</w:t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Dane te pochodzą w głównej mierze z baz danych Ministerstwa Finansów oraz bazy REGON, a dokładne odnośniki do źródeł podane zostały w tabeli 4, kolumna „źródła danych”.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Pr="007A267B" w:rsidRDefault="0000120A" w:rsidP="00EC684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A267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Podmioty objęte ustawą o informatyzacji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odmioty określone w </w:t>
            </w:r>
            <w:r w:rsidRPr="007A267B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>ustawie o informatyzacji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miały już obwiązek uwzględnienia wymogu zgodności stron internetowych i aplikacji mobilnych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 wytycznymi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WCAG 2.0 </w:t>
            </w:r>
            <w:proofErr w:type="gramStart"/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proofErr w:type="gramEnd"/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poziomie AA, określonego w § 19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rozporządzenia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KRI.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związku z powyższym zakłada się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że podmioty te w swoich działaniach i budżetach przewidziały wydatki związane z zapewnieniem zgodności </w:t>
            </w:r>
            <w:r w:rsidRPr="006740E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stron internetowych i aplikacji mobilnych z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ww. wytycznymi. Tym samym przyjęto, że dla podmiotów objętych ustawą o informatyzacji podmiotów realizujących zadania publiczne, projektowana ustawa w zakresie zgodności systemu teleinformatycznego, jakim w szczególności jest strona internetowa lub aplikacja mobilna, z wymogami WCAG 2.0 na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poziomie co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najmniej AA, nie będzie generowała nowych wydatków. 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Jednocześnie zauważyć należy, iż nowy obowiązek dla tych podmiotów stanowi publikacja oświadczeń o dostępności oraz, w niektórych przypadkach, rozpatrywanie skarg wnoszonych przez obywateli. Wydatki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podmiotów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związane z publikacją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oświadczeń o dostępności cyfrowej stron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internetowych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oraz aplikacji mobilnych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są możliwe do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pełnego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oszacowa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nia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ze względu na brak na dzień transpozycji przepisów szczegółowych wytycznych dotyczących ich formy.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Wiadome jest jedynie, że podmioty te będą przeprowadzać podstawową analizę dostępności swoich stron internetowych i aplikacji mobilnych – działanie takie może zostać zrealizowane w ramach kadr aktualnie zatrudnionych w organizacji lub przez zlecenie organizacjom wyspecjalizowanym w zakresie audytu dostępności. W przypadku zakupu takiej usługi na zewnątrz, średni koszt jej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 xml:space="preserve">wykonania </w:t>
            </w:r>
            <w:r w:rsidRPr="00D5180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wynosi </w:t>
            </w:r>
            <w:r w:rsidRPr="00AC4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4000 zł</w:t>
            </w:r>
            <w:r w:rsidRPr="00AC4042">
              <w:rPr>
                <w:rStyle w:val="Odwoanieprzypisudolnego"/>
                <w:rFonts w:ascii="Times New Roman" w:hAnsi="Times New Roman"/>
                <w:color w:val="000000" w:themeColor="text1"/>
                <w:sz w:val="21"/>
                <w:szCs w:val="21"/>
              </w:rPr>
              <w:footnoteReference w:id="13"/>
            </w:r>
            <w:r w:rsidRPr="00AC4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który to koszt podmioty poniosą z budżetów własnych. Rozpatrywanie skarg oraz publikacja oświadczeń o dostępności realizowana będzie w ramach działań bieżących danego podmiotu. Ewentualne s</w:t>
            </w:r>
            <w:r w:rsidRPr="00D90F4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kutki finansowe związane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 wprowadzeniem przedmiotowej regulacji</w:t>
            </w:r>
            <w:r w:rsidRPr="00D90F4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zostaną sfinansowane w ramach środków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budżetowych tych podmiotów.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Minister właściwy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 spraw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informatyzacji po opublikowaniu przez Komisję Europejską (najpóźniej do 23 grudnia 2018 roku) aktów wykonawczych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do dyrektywy 2016/2102/UE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przygotuje szczegółowy zakres, narzędzia wspierające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oraz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przewodniki dla stosowania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oświadczeń o dostępności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Ich publikacja jest obowiązkowa dla części witryn w 2019 roku, a dla pozostałych od 2020 roku; dla aplikacji mobilnych od 2022 roku.</w:t>
            </w:r>
          </w:p>
          <w:p w:rsidR="0000120A" w:rsidRPr="0065540F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Rozwiązaniem na zmniejszenie kosztu dostosowania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strony internetowej do wymogów projektowanej ustawy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jest w przypadku ministerstw i wojewodów migracja na platformę GOV.PL, gdzie standard dostępności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w zakresie struktury informacji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gwarantuje minister właściwy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 spraw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informatyzacji. Platforma może być udostępniona szerszemu gronu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podmiotów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co wymaga jednak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poszerzenia zakresu aktualnej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inwestycji ze strony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Skarbu 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Państwa.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Pr="007A267B" w:rsidRDefault="0000120A" w:rsidP="00EC684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A267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Podmioty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,</w:t>
            </w:r>
            <w:r w:rsidRPr="007A267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dla których zastosowano wyłączenie z ustawy o informatyzacji, oraz nieobjęte wcześniej wymogiem stosowania norm dostępności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Szacuje się, że podmiotów, dla których obowiązki w zakresie dostępności będą nowym wymogiem, jest </w:t>
            </w:r>
            <w:r w:rsidRPr="00D5180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ponad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D51803">
              <w:rPr>
                <w:rFonts w:ascii="Times New Roman" w:hAnsi="Times New Roman"/>
                <w:sz w:val="21"/>
                <w:szCs w:val="21"/>
              </w:rPr>
              <w:t xml:space="preserve"> i są to 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>służb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specjaln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w rozumieniu art. 11 ustawy z dnia 24 maja 2002 r. o Agencji Bezpieczeństwa Wewnętrznego oraz Agencji Wywiadu (Dz. U. </w:t>
            </w:r>
            <w:proofErr w:type="gramStart"/>
            <w:r w:rsidRPr="00A437FB">
              <w:rPr>
                <w:rFonts w:ascii="Times New Roman" w:hAnsi="Times New Roman"/>
                <w:sz w:val="21"/>
                <w:szCs w:val="21"/>
              </w:rPr>
              <w:t>z</w:t>
            </w:r>
            <w:proofErr w:type="gramEnd"/>
            <w:r w:rsidRPr="00A437FB">
              <w:rPr>
                <w:rFonts w:ascii="Times New Roman" w:hAnsi="Times New Roman"/>
                <w:sz w:val="21"/>
                <w:szCs w:val="21"/>
              </w:rPr>
              <w:t xml:space="preserve"> 2016 r. poz. 1897, 1948 i 1955 oraz z 2017 r. poz. 60), Kancelari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Sejmu, Kancelari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Senatu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oraz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Kancelari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Pr="00A437FB">
              <w:rPr>
                <w:rFonts w:ascii="Times New Roman" w:hAnsi="Times New Roman"/>
                <w:sz w:val="21"/>
                <w:szCs w:val="21"/>
              </w:rPr>
              <w:t xml:space="preserve"> Prezydenta Rze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czypospolitej Polskiej.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Należy przy tym podkreślić, że obowiązek wynikający z projektowanej ustawy dotyczy stron internetowych </w:t>
            </w:r>
            <w:r w:rsidRPr="00E366A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publicznych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a więc tych, na których publikowane są informacje dostępne dla obywateli</w:t>
            </w:r>
            <w:r>
              <w:t xml:space="preserve"> </w:t>
            </w:r>
            <w:r w:rsidRPr="002069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 specjalnych uprawnień do ich wyświetlania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Średni koszt dostosowania strony www do wymogów dostępności oszacowany został na kwotę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29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894 </w:t>
            </w:r>
            <w:proofErr w:type="gramStart"/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</w:t>
            </w:r>
            <w:proofErr w:type="gramEnd"/>
            <w:r w:rsidRPr="0065540F">
              <w:rPr>
                <w:rStyle w:val="Odwoanieprzypisudolnego"/>
                <w:rFonts w:ascii="Times New Roman" w:hAnsi="Times New Roman"/>
                <w:color w:val="000000" w:themeColor="text1"/>
                <w:sz w:val="21"/>
                <w:szCs w:val="21"/>
              </w:rPr>
              <w:footnoteReference w:id="14"/>
            </w:r>
            <w:r w:rsidRPr="0065540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Koszt dostosowania jest wynikiem średniej wartości dotacji, jaką Minister Administracji i Cyfryzacji w 2015 roku udzielił organom publicznym na ten cel. Nie można precyzyjnie określić, ile stron internetowych wymaga aktualizacji, a ile stosuje się już do zasad dostępności. Jest to efekt różnego podejścia twórców witryn do wrażliwości na potrzeby różnych grup odbiorców. Koszty tej inwestycji pokrywane będą z budżetów własnych poszczególnych jednostek.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Rozpatrywanie skarg oraz oświadczenia o dostępności realizowane będą w ramach obowiązków danego podmiotu.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Pr="00AC4042" w:rsidRDefault="0000120A" w:rsidP="00EC684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AC404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Szkolenia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i promocja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Zapewnienie dostępności cyfrowej, otwierające dostęp do treści dla osób korzystających ze specjalnego oprogramowania, bądź wymagających odpowiedniego języka przekazu, to wysiłek nieporównywalny do możliwości w dostępie do informacji, jakie zyskują wszyscy obywatele korzystający z przekazu informacji w sieci Internet. Największą przeszkodą w dotychczasowym wdrażaniu zasad dostępności wydaje się być bariera poznawcza – brak świadomości prostoty metod, jakie należy stosować, by efekt ten osiągnąć. Wsparcie organów realizujących zadania publiczne odbywać będzie się przez Szefa Służby Cywilnej – dla pracowników służby cywilnej, oraz przez ministra właściwego do spraw administracji – dla pracowników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będących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BB05C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pracownikami służby cywilnej, a pracujących w jednostkach administracji samorządowej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Działania te zostały zapisane w programie Dostępność+ razem ze środkami przeznaczonymi na ten cel. </w:t>
            </w:r>
          </w:p>
          <w:p w:rsidR="0000120A" w:rsidRPr="0065540F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Pr="007A267B" w:rsidRDefault="0000120A" w:rsidP="00EC684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00120A" w:rsidRDefault="00D617D1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R</w:t>
            </w:r>
            <w:r w:rsidR="0000120A" w:rsidRPr="007A267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ealizacja obowiązków monitoringu, tworzenia standardów, raportowania, promocji i szkoleń</w:t>
            </w:r>
            <w:r w:rsidR="0000120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EE4643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związku ze zwiększeniem obowiązków wynikających z projektowanej regulacji po stronie Ministra Cyfryzacji dotyczących promocji,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tworzenia materiałów edukacyjnych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realizacji monitoringu, wydawania raportów, raportowania do Komisji Europejskiej, niezbędne jest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dodatkowe zatrudnienie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od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 3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pracowników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Przewidziany koszt w 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 to ok.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299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tys. zł, natomiast od 202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oraz latach kolejnych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ok.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324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tys. zł. Do obliczenia ww. wydatków na wynagrodzenia przyjęto dla 1 etatu mnożnik 3,00. Ponadto od 202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 uwzględniono wydatki na dodatkowe wynagrodzenie tzw. „13”. Koszt organizacji jednego stanowiska pracy zaopatrzonego w 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 xml:space="preserve">sprzęt IT tj.: pakiet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biurowy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 komputer</w:t>
            </w:r>
            <w:proofErr w:type="gramEnd"/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stacjonarny oraz w wyposażenie wyniesie ok. 9.000,00 zł. Łącznie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jednorazowy 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koszt utworzenia stanowisk pracy dla 3 etatów wyniesie ok. 27.000,00 zł.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Materiały edukacyjne, strona internetowa, promocja zrealizowana zostanie ze środków własnych ministra właściwego do spraw informatyzacji.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0120A" w:rsidRDefault="0000120A" w:rsidP="00EC684E">
            <w:pPr>
              <w:spacing w:after="16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D5180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związane z monitoringiem dostępności</w:t>
            </w: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Minister</w:t>
            </w:r>
            <w:r w:rsidRPr="00BB05C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właściwy </w:t>
            </w:r>
            <w:r w:rsidRPr="00026F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 spraw informatyzacji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przygotuje narzędzie weryfikujące obecność i poprawność formalną deklaracji dostępności. Do prawidłowego działania takiej aplikacji, niezbędne jest przygotowanie właściwego standardu technicznego. Szacowany koszt opracowania standardu technicznego oświadczenia o dostępności wraz z narzędziem weryfikującym obecność i poprawność deklaracji dostępności </w:t>
            </w: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to 50.000 </w:t>
            </w:r>
            <w:proofErr w:type="gramStart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</w:t>
            </w:r>
            <w:proofErr w:type="gramEnd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Koszt ten zostanie poniesiony w 2019 roku w ramach części 27 – Informatyzacja. Narzędzie to udostępnione zostanie innym organom, celem ułatwienia i weryfikacji poprawności wywiązania się z obowiązku ustawy. </w:t>
            </w:r>
          </w:p>
          <w:p w:rsidR="00EE4643" w:rsidRPr="00B02AEF" w:rsidRDefault="00EE4643" w:rsidP="00EE4643">
            <w:pPr>
              <w:tabs>
                <w:tab w:val="left" w:pos="6855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Niezbędne będzie przygotowanie metodologii badania stron internetowych pod względem zgodności z zaleceniami WCAG, która posłuży do monitoringu realizacji wymagań Ustawy. Koszt przygotowania tej metodologii pokryty zostanie ze środków własnych ministra właściwego do spraw informatyzacji.</w:t>
            </w:r>
          </w:p>
          <w:p w:rsidR="00B44E41" w:rsidRPr="00B02AEF" w:rsidRDefault="00B44E41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Nie są znane jeszcze ostateczne, minimalne wymagania Komisji Europejskiej dotyczące selekcji stron internetowych i aplikacji mobilnych do badania w ramach monitoringu. Z aktualnie opublikowanych przez Komisję Europejską informacji wynika, że państwa członkowskie będą miały obowiązek realizacji monitoringu w cyklu rocznym, a minimalnym wymaganiem będzie pełna (dogłębna) weryfikacja dostępności </w:t>
            </w:r>
            <w:proofErr w:type="gramStart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cyfrowej co</w:t>
            </w:r>
            <w:proofErr w:type="gramEnd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najmniej 80 stron internetowych oraz 30 aplikacji mobilnych oraz pobieżne sprawdzenie ok. 850 stron internetowych. W wyniku rozpoznania rynku, określone </w:t>
            </w:r>
            <w:proofErr w:type="gramStart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zostało że</w:t>
            </w:r>
            <w:proofErr w:type="gramEnd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badanie dogłębne wyniesie około 450 000 zł, a badanie pobieżne wyniesie około 300 000 zł dla wymienionych ilości badanych stron. Wydatki te poniesione zostaną z budżetu państwa w 2021 roku oraz w latach kolejnych (pierwszy rok obowiązku realizacji monitoringu), w ramach części 27 - Informatyzacja. </w:t>
            </w: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celu usprawnienia procedury monitoringu i możliwości przekazywania organom informacji zwrotnej o ich poziomie dostępności i sugerowanych poprawkach, wytworzone zostanie narzędzie wspierające realizacje monitoringu. Szacowany koszt narzędzia wspomagającego weryfikacje zgodności kodu </w:t>
            </w:r>
            <w:proofErr w:type="spellStart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html</w:t>
            </w:r>
            <w:proofErr w:type="spellEnd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strony internetowej z wymaganiami WCAG 2.0 </w:t>
            </w:r>
            <w:proofErr w:type="gramStart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proofErr w:type="gramEnd"/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poziomie AA to 300 tys. zł</w:t>
            </w:r>
            <w:r w:rsidRPr="00B02AEF">
              <w:rPr>
                <w:rStyle w:val="Odwoanieprzypisudolnego"/>
                <w:rFonts w:ascii="Times New Roman" w:hAnsi="Times New Roman"/>
                <w:color w:val="000000" w:themeColor="text1"/>
                <w:sz w:val="21"/>
                <w:szCs w:val="21"/>
              </w:rPr>
              <w:footnoteReference w:id="15"/>
            </w: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Koszt ten pokryty zostanie z budżetu części 27 - Informatyzacja na 2019 rok. Roczne utrzymanie narzędzia to koszt szacowany na 20 tys. zł, pokryty z części 27 – Informatyzacja, od 2020 roku. </w:t>
            </w: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E4643" w:rsidRPr="00B02AEF" w:rsidRDefault="00EE4643" w:rsidP="00EE464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02AEF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związane z wypracowaniem materiałów online dotyczących dostępności</w:t>
            </w:r>
          </w:p>
          <w:p w:rsidR="00EE4643" w:rsidRDefault="00EE4643" w:rsidP="00EE4643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celu wsparcia organów publicznych w zapewnieniu dostępności, polegającym na wypracowaniu przewodników w zakresie dostępności: stron, aplikacji mobilnych, dokumentów oraz multimediów w formie materiałów i szkoleń online oraz utworzenie i udostępnienie szablonów stron internetowych oraz biuletynów informacji publicznej, minister właściwy do spraw informatyzacji, utworzy stronę internetową dedykowaną i wypełnioną wyżej wymienionymi materiałami. Koszt wytworzenia materiałów i utworzenia takiej strony szacowany jest na 600 tys. zł</w:t>
            </w:r>
            <w:r w:rsidRPr="00B02AEF">
              <w:rPr>
                <w:rStyle w:val="Odwoanieprzypisudolnego"/>
                <w:rFonts w:ascii="Times New Roman" w:hAnsi="Times New Roman"/>
                <w:color w:val="000000" w:themeColor="text1"/>
                <w:sz w:val="21"/>
                <w:szCs w:val="21"/>
              </w:rPr>
              <w:footnoteReference w:id="16"/>
            </w:r>
            <w:r w:rsidRPr="00B02A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zostanie pokryty w ramach części 27 – Informatyzacja w 2020 roku.</w:t>
            </w:r>
          </w:p>
          <w:p w:rsidR="00667381" w:rsidRPr="00D114A7" w:rsidRDefault="00667381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Przychody</w:t>
            </w:r>
          </w:p>
        </w:tc>
        <w:tc>
          <w:tcPr>
            <w:tcW w:w="8694" w:type="dxa"/>
            <w:gridSpan w:val="27"/>
            <w:shd w:val="clear" w:color="auto" w:fill="FFFFFF" w:themeFill="background1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83F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 obliczeń przyjęto założenie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że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począwszy od 2021</w:t>
            </w:r>
            <w:r w:rsidR="00BB69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co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roku jeden podmiot będzie uporczywie uchylał się od </w:t>
            </w:r>
            <w:r w:rsidRPr="004B0BB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spełniania wymogów dostępności cyfrowej strony internetowej lub aplikacji mobilnej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co spowoduje nałożenie kary 10.000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Szacuje się, że w tym samym okresie będzie </w:t>
            </w:r>
            <w:r w:rsidR="00B2664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14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podmiotów, które nie opublikują poprawnej deklaracji dostępności, co spowoduje nałożenie na nie kar w łącznej wysokości 70.000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Założone zostało, że mechanizm kar, nawet relatywnie niedużych, podziała prewencyjnie i od 2024 roku nie będziemy obserwować rażących problemów z dostępnością cyfrową.</w:t>
            </w:r>
          </w:p>
          <w:p w:rsidR="0000120A" w:rsidRPr="002069E6" w:rsidRDefault="0000120A" w:rsidP="00EC684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Wpływ na </w:t>
            </w: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</w:tcPr>
          <w:p w:rsidR="0000120A" w:rsidRPr="001B2D13" w:rsidRDefault="0000120A" w:rsidP="00EC684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A32A04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>Łącznie</w:t>
            </w:r>
            <w:r w:rsidRPr="00A32A04" w:rsidDel="0073273A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1B2D13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00120A" w:rsidRDefault="0000120A" w:rsidP="00EC68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00120A" w:rsidRDefault="0000120A" w:rsidP="00EC684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</w:t>
            </w:r>
            <w:proofErr w:type="gramStart"/>
            <w:r>
              <w:rPr>
                <w:rFonts w:ascii="Times New Roman" w:hAnsi="Times New Roman"/>
                <w:spacing w:val="-2"/>
                <w:sz w:val="21"/>
                <w:szCs w:val="21"/>
              </w:rPr>
              <w:t>z 2018  r</w:t>
            </w:r>
            <w:proofErr w:type="gramEnd"/>
            <w:r>
              <w:rPr>
                <w:rFonts w:ascii="Times New Roman" w:hAnsi="Times New Roman"/>
                <w:spacing w:val="-2"/>
                <w:sz w:val="21"/>
                <w:szCs w:val="21"/>
              </w:rPr>
              <w:t>.)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przedsiębiorstwa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przedsiębiorstwa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00120A" w:rsidRPr="00301959" w:rsidRDefault="0000120A" w:rsidP="00EC684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00120A" w:rsidRPr="0068717C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"Miarą dojrzałości państwa jest to, jak traktuje i opiekuje się swoimi słabszymi obywatelami. Naszym wielkim zadaniem będzie stworzenie Polski prawdziwie przyjaznej dla osób starszych i niepełnosprawnych."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Expose Prezesa Rady Ministrów Mateusza Morawieckiego, 12 grudnia 2017 r.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Obecnie na rynku jest coraz mniej usług wolnych od nowoczesnych technologii, które mają za zadanie usprawniać nasze codzienne życie, a często nawet wykonywać część obowiązków w sposób automatyczny, jak na przykład usługa bankowa – polecenie zapłaty. Korzyści związane z rozwojem nowoczesnych technologii są niezaprzeczalne. Jeśli produkty i usługi nie są zaprojektowane zgodnie z zasadami dostępności, powodują zwiększenie poziomu wykluczenia cyfrowego odbiorców, uniemożliwiając lub utrudniając komunikację. Osoby w wieku 65 lat i więcej zdecydowanie rzadziej korzystają z komputera niż ogół społeczeństwa. Na pytanie „Jak często korzysta Pan/Pani z komputera?” </w:t>
            </w:r>
            <w:proofErr w:type="gramStart"/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jedynie</w:t>
            </w:r>
            <w:proofErr w:type="gramEnd"/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13% seniorów odpowiedziało „codziennie lub prawie codziennie” (dla porównania procent ten w przypadku ogółu osób w wieku powyżej 16 lat wynosił 53%). Aż 3/4 osób powyżej 65 lat w ogóle nie używa Internetu</w:t>
            </w:r>
            <w:r>
              <w:rPr>
                <w:rStyle w:val="Odwoanieprzypisudolnego"/>
                <w:rFonts w:ascii="Times New Roman" w:hAnsi="Times New Roman"/>
                <w:color w:val="000000"/>
                <w:spacing w:val="-2"/>
                <w:sz w:val="21"/>
                <w:szCs w:val="21"/>
              </w:rPr>
              <w:footnoteReference w:id="17"/>
            </w:r>
            <w:r w:rsidRPr="0068717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 Osoby z niepełnosprawnością mają takie same potrzeby w obszarze komunikacji cyfrowej, co osoby pełnosprawne. Chcą funkcjonować normalnie, być uczestnikami życia społecznego.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efekcie projektowanej ustawy, obywatele zyskają łatwiejszy i bardziej przejrzysty dostęp do informacji i usług udostępnianych przez organy publiczne, co będzie mieć konsekwencje mierzone zaufaniem do jednostek publicznych, wykorzystaniem informacji sektora oraz wykorzystaniem usług elektronicznych udostępnianych w dostępnej formie.</w:t>
            </w:r>
          </w:p>
        </w:tc>
      </w:tr>
      <w:tr w:rsidR="0000120A" w:rsidRPr="008B4FE6" w:rsidTr="00EC684E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 w:themeFill="background1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00120A" w:rsidRPr="00301959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66A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Szacuje się, że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dla spółek</w:t>
            </w:r>
            <w:r w:rsidRPr="00E366A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prawa handlowego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F84F3D">
              <w:rPr>
                <w:rFonts w:ascii="Times New Roman" w:hAnsi="Times New Roman"/>
                <w:color w:val="000000"/>
                <w:sz w:val="21"/>
                <w:szCs w:val="21"/>
              </w:rPr>
              <w:t>niemających charakteru przemysłowego ani handlowego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w których prawa z akcji SP wykonują członkowie Rady Ministrów/pełnomocnicy, </w:t>
            </w:r>
            <w:r w:rsidRPr="005F42F5">
              <w:rPr>
                <w:rFonts w:ascii="Times New Roman" w:hAnsi="Times New Roman"/>
                <w:color w:val="000000"/>
                <w:sz w:val="21"/>
                <w:szCs w:val="21"/>
              </w:rPr>
              <w:t>samorządowe osoby prawne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przedsiębiorstw państwowych, instytutów badawczych, oraz Narodowego Banku Polskiego - </w:t>
            </w:r>
            <w:r w:rsidRPr="00E366A0">
              <w:rPr>
                <w:rFonts w:ascii="Times New Roman" w:hAnsi="Times New Roman"/>
                <w:color w:val="000000"/>
                <w:sz w:val="21"/>
                <w:szCs w:val="21"/>
              </w:rPr>
              <w:t>obowiązki w zakresie dostępności będą nowym wymogiem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Koszt ten wyniesie ponad </w:t>
            </w:r>
            <w:r w:rsidRPr="006F0F6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 mln zł, gdzie średni</w:t>
            </w:r>
            <w:r w:rsidRPr="00350B8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koszt dostosowania strony www do wymogów dostępności wynosi 29.894 </w:t>
            </w:r>
            <w:proofErr w:type="gramStart"/>
            <w:r w:rsidRPr="00350B8A">
              <w:rPr>
                <w:rFonts w:ascii="Times New Roman" w:hAnsi="Times New Roman"/>
                <w:color w:val="000000"/>
                <w:sz w:val="21"/>
                <w:szCs w:val="21"/>
              </w:rPr>
              <w:t>zł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Założono, że koszt ten zostanie poniesiony w roku 2020 ze środków własnych jednostek objętych regulacją.</w:t>
            </w:r>
            <w:r w:rsidDel="009A4B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120A" w:rsidRPr="008B4FE6" w:rsidTr="00EC684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0120A" w:rsidRPr="008B4FE6" w:rsidTr="00EC684E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A5FDA">
              <w:rPr>
                <w:rFonts w:ascii="Times New Roman" w:hAnsi="Times New Roman"/>
                <w:color w:val="000000"/>
                <w:spacing w:val="-2"/>
              </w:rPr>
              <w:t>nie</w:t>
            </w:r>
            <w:proofErr w:type="gramEnd"/>
            <w:r w:rsidRPr="001A5FDA">
              <w:rPr>
                <w:rFonts w:ascii="Times New Roman" w:hAnsi="Times New Roman"/>
                <w:color w:val="000000"/>
                <w:spacing w:val="-2"/>
              </w:rPr>
              <w:t xml:space="preserve"> dotyczy</w:t>
            </w:r>
          </w:p>
        </w:tc>
      </w:tr>
      <w:tr w:rsidR="0000120A" w:rsidRPr="008B4FE6" w:rsidTr="00EC684E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 w:themeFill="background1"/>
          </w:tcPr>
          <w:p w:rsidR="0000120A" w:rsidRDefault="0000120A" w:rsidP="00EC684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44C15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4C15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:rsidR="0000120A" w:rsidRDefault="0000120A" w:rsidP="00EC684E">
            <w:pPr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00120A" w:rsidRPr="008B4FE6" w:rsidTr="00EC684E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skrócenie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0120A" w:rsidRPr="001B2D13" w:rsidRDefault="0000120A" w:rsidP="00EC684E">
            <w:pPr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1B2D1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B2D13">
              <w:rPr>
                <w:rFonts w:ascii="Times New Roman" w:hAnsi="Times New Roman"/>
                <w:color w:val="000000"/>
              </w:rPr>
            </w:r>
            <w:r w:rsidRPr="001B2D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1B2D13"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wydłużenie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1B2D1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B2D13">
              <w:rPr>
                <w:rFonts w:ascii="Times New Roman" w:hAnsi="Times New Roman"/>
                <w:color w:val="000000"/>
              </w:rPr>
            </w:r>
            <w:r w:rsidRPr="001B2D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1B2D13">
              <w:fldChar w:fldCharType="end"/>
            </w:r>
          </w:p>
        </w:tc>
      </w:tr>
      <w:tr w:rsidR="0000120A" w:rsidRPr="008B4FE6" w:rsidTr="00EC684E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00120A" w:rsidRPr="008B4FE6" w:rsidTr="00EC684E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:rsidR="0000120A" w:rsidRDefault="0000120A" w:rsidP="00EC68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Obowiązkiem informacyjnym organu</w:t>
            </w:r>
            <w:r w:rsidR="00AE4D44">
              <w:rPr>
                <w:rFonts w:ascii="Times New Roman" w:hAnsi="Times New Roman"/>
                <w:color w:val="000000"/>
              </w:rPr>
              <w:t xml:space="preserve"> publicznego</w:t>
            </w:r>
            <w:r>
              <w:rPr>
                <w:rFonts w:ascii="Times New Roman" w:hAnsi="Times New Roman"/>
                <w:color w:val="000000"/>
              </w:rPr>
              <w:t xml:space="preserve"> będzie przygotowywanie oświadczeń o zgodności stron internetowych i aplikacji mobilnych, zgodnie z przepisami niniejszego projektu ustawy i aktualizowanie </w:t>
            </w:r>
            <w:proofErr w:type="gramStart"/>
            <w:r>
              <w:rPr>
                <w:rFonts w:ascii="Times New Roman" w:hAnsi="Times New Roman"/>
                <w:color w:val="000000"/>
              </w:rPr>
              <w:t>ich 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raz w roku.</w:t>
            </w:r>
          </w:p>
          <w:p w:rsidR="00AE4D44" w:rsidRDefault="00AE4D44" w:rsidP="00EC684E">
            <w:pPr>
              <w:rPr>
                <w:rFonts w:ascii="Times New Roman" w:hAnsi="Times New Roman"/>
                <w:color w:val="000000"/>
              </w:rPr>
            </w:pPr>
          </w:p>
          <w:p w:rsidR="006C0D00" w:rsidRDefault="00B21D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Część przepisów </w:t>
            </w:r>
            <w:r w:rsidR="00180C12">
              <w:rPr>
                <w:rFonts w:ascii="Times New Roman" w:hAnsi="Times New Roman"/>
                <w:color w:val="000000"/>
              </w:rPr>
              <w:t>U</w:t>
            </w:r>
            <w:r>
              <w:rPr>
                <w:rFonts w:ascii="Times New Roman" w:hAnsi="Times New Roman"/>
                <w:color w:val="000000"/>
              </w:rPr>
              <w:t>stawy wykracza poza wymagania Dyrektywy</w:t>
            </w:r>
            <w:r w:rsidR="006C0D00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0D00" w:rsidRDefault="006C0D00" w:rsidP="001E16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1D12">
              <w:rPr>
                <w:rFonts w:ascii="Times New Roman" w:hAnsi="Times New Roman"/>
                <w:color w:val="000000"/>
              </w:rPr>
              <w:t xml:space="preserve"> </w:t>
            </w:r>
            <w:r w:rsidR="001E169F">
              <w:rPr>
                <w:rFonts w:ascii="Times New Roman" w:hAnsi="Times New Roman"/>
                <w:color w:val="000000"/>
              </w:rPr>
              <w:t>możliwość skorzystania z nieproporcjonalnego obciążenia, została wykluczona dla podstawowych elementów strony internetowej lub aplikacji mobilnej, a noszących najważniejsze informacje takich jak: informacje kontaktowe</w:t>
            </w:r>
            <w:r w:rsidR="00B21D12">
              <w:rPr>
                <w:rFonts w:ascii="Times New Roman" w:hAnsi="Times New Roman"/>
                <w:color w:val="000000"/>
              </w:rPr>
              <w:t xml:space="preserve">, </w:t>
            </w:r>
            <w:r w:rsidR="001E169F">
              <w:rPr>
                <w:rFonts w:ascii="Times New Roman" w:hAnsi="Times New Roman"/>
                <w:color w:val="000000"/>
              </w:rPr>
              <w:t>formularze kontaktowe</w:t>
            </w:r>
            <w:r w:rsidR="00B21D12">
              <w:rPr>
                <w:rFonts w:ascii="Times New Roman" w:hAnsi="Times New Roman"/>
                <w:color w:val="000000"/>
              </w:rPr>
              <w:t xml:space="preserve">, informacji urzędowych, wzorów umów oraz informacji mających związek z bezpieczeństwem publicznym. </w:t>
            </w:r>
            <w:r w:rsidR="008B4A62">
              <w:rPr>
                <w:rFonts w:ascii="Times New Roman" w:hAnsi="Times New Roman"/>
                <w:color w:val="000000"/>
              </w:rPr>
              <w:t>Wykluczony z tej możliwości został również Biuletynu Informacji Publicznej, który to był już objęty wymogiem zapewnienia zgodności z zaleceniami dostępności wprowadzone w rozporządzeniu KRI.</w:t>
            </w:r>
          </w:p>
          <w:p w:rsidR="001E169F" w:rsidRDefault="001E169F" w:rsidP="008B4A62">
            <w:pPr>
              <w:rPr>
                <w:rFonts w:ascii="Times New Roman" w:hAnsi="Times New Roman"/>
                <w:color w:val="000000"/>
              </w:rPr>
            </w:pPr>
          </w:p>
          <w:p w:rsidR="006C0D00" w:rsidRDefault="006C0D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622B43">
              <w:rPr>
                <w:rFonts w:ascii="Times New Roman" w:hAnsi="Times New Roman"/>
                <w:color w:val="000000"/>
              </w:rPr>
              <w:t xml:space="preserve"> </w:t>
            </w:r>
            <w:r w:rsidR="009A237E">
              <w:rPr>
                <w:rFonts w:ascii="Times New Roman" w:hAnsi="Times New Roman"/>
                <w:color w:val="000000"/>
              </w:rPr>
              <w:t>specjalistyczne (najczęściej techniczne) pliki, których nie można przedstawić w cyfrowo dostępnej formie</w:t>
            </w:r>
            <w:r>
              <w:rPr>
                <w:rFonts w:ascii="Times New Roman" w:hAnsi="Times New Roman"/>
                <w:color w:val="000000"/>
              </w:rPr>
              <w:t xml:space="preserve"> nie będą podlegały wymaganiom związanyc</w:t>
            </w:r>
            <w:r w:rsidR="00A7103A">
              <w:rPr>
                <w:rFonts w:ascii="Times New Roman" w:hAnsi="Times New Roman"/>
                <w:color w:val="000000"/>
              </w:rPr>
              <w:t>h</w:t>
            </w:r>
            <w:r>
              <w:rPr>
                <w:rFonts w:ascii="Times New Roman" w:hAnsi="Times New Roman"/>
                <w:color w:val="000000"/>
              </w:rPr>
              <w:t xml:space="preserve"> z prezentacją w dostępnej cyfrowo formie</w:t>
            </w:r>
            <w:r w:rsidR="009A237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E169F" w:rsidRDefault="001E169F" w:rsidP="00EC684E">
            <w:pPr>
              <w:rPr>
                <w:rFonts w:ascii="Times New Roman" w:hAnsi="Times New Roman"/>
                <w:color w:val="000000"/>
              </w:rPr>
            </w:pPr>
          </w:p>
          <w:p w:rsidR="0000120A" w:rsidRPr="008B4FE6" w:rsidRDefault="00CC0B8F" w:rsidP="00573B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</w:t>
            </w:r>
            <w:r w:rsidR="006C0D00">
              <w:rPr>
                <w:rFonts w:ascii="Times New Roman" w:hAnsi="Times New Roman"/>
                <w:color w:val="000000"/>
              </w:rPr>
              <w:t xml:space="preserve">ymaganiom dostępności cyfrowej nie będą podlegały elementy, których udostępnienie mogłoby spowodować </w:t>
            </w:r>
            <w:r w:rsidR="008B4A62">
              <w:rPr>
                <w:rFonts w:ascii="Times New Roman" w:hAnsi="Times New Roman"/>
                <w:color w:val="000000"/>
              </w:rPr>
              <w:t xml:space="preserve">niezachowanie </w:t>
            </w:r>
            <w:r w:rsidR="006C0D00">
              <w:rPr>
                <w:rFonts w:ascii="Times New Roman" w:hAnsi="Times New Roman"/>
                <w:color w:val="000000"/>
              </w:rPr>
              <w:t>niesionej przez nie informacji</w:t>
            </w:r>
            <w:r w:rsidR="008B4A62">
              <w:rPr>
                <w:rFonts w:ascii="Times New Roman" w:hAnsi="Times New Roman"/>
                <w:color w:val="000000"/>
              </w:rPr>
              <w:t xml:space="preserve"> (niezachowanie ich integralności lub autentyczności)</w:t>
            </w:r>
            <w:r w:rsidR="006C0D00">
              <w:rPr>
                <w:rFonts w:ascii="Times New Roman" w:hAnsi="Times New Roman"/>
                <w:color w:val="000000"/>
              </w:rPr>
              <w:t xml:space="preserve">. </w:t>
            </w:r>
            <w:r w:rsidR="009A7C0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Wpływ na rynek pracy 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>Wpływ na pozostałe obszary</w:t>
            </w:r>
          </w:p>
        </w:tc>
      </w:tr>
      <w:tr w:rsidR="0000120A" w:rsidRPr="008B4FE6" w:rsidTr="00EC684E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środowisko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naturalne</w:t>
            </w: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</w:rPr>
              <w:t>sytuacja</w:t>
            </w:r>
            <w:proofErr w:type="gramEnd"/>
            <w:r w:rsidRPr="008B4FE6">
              <w:rPr>
                <w:rFonts w:ascii="Times New Roman" w:hAnsi="Times New Roman"/>
                <w:color w:val="000000"/>
              </w:rPr>
              <w:t xml:space="preserve"> i rozwój regionalny</w:t>
            </w: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r w:rsidRPr="001B2D13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B2D13">
              <w:rPr>
                <w:rFonts w:ascii="Times New Roman" w:hAnsi="Times New Roman"/>
                <w:color w:val="000000"/>
              </w:rPr>
            </w:r>
            <w:r w:rsidRPr="001B2D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1B2D13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  <w:proofErr w:type="gramEnd"/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mienie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państwowe</w:t>
            </w:r>
          </w:p>
        </w:tc>
        <w:tc>
          <w:tcPr>
            <w:tcW w:w="3703" w:type="dxa"/>
            <w:gridSpan w:val="9"/>
            <w:shd w:val="clear" w:color="auto" w:fill="FFFFFF" w:themeFill="background1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0120A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B2D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  <w:proofErr w:type="gramEnd"/>
          </w:p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2D1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44C15">
              <w:rPr>
                <w:rFonts w:ascii="Times New Roman" w:hAnsi="Times New Roman"/>
                <w:color w:val="000000"/>
              </w:rPr>
            </w:r>
            <w:r w:rsidR="00244C15">
              <w:rPr>
                <w:rFonts w:ascii="Times New Roman" w:hAnsi="Times New Roman"/>
                <w:color w:val="000000"/>
              </w:rPr>
              <w:fldChar w:fldCharType="separate"/>
            </w:r>
            <w:r w:rsidRPr="001B2D13"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  <w:proofErr w:type="gramEnd"/>
          </w:p>
        </w:tc>
      </w:tr>
      <w:tr w:rsidR="0000120A" w:rsidRPr="008B4FE6" w:rsidTr="00EC684E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00120A" w:rsidRPr="008B4FE6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utrzyma wymagania dla projektów informatycznych realizowanych przez </w:t>
            </w:r>
            <w:r w:rsidRPr="008E705E">
              <w:rPr>
                <w:rFonts w:ascii="Times New Roman" w:hAnsi="Times New Roman"/>
                <w:color w:val="000000"/>
                <w:spacing w:val="-2"/>
              </w:rPr>
              <w:t xml:space="preserve">podmioty realizujące zadania </w:t>
            </w:r>
            <w:proofErr w:type="gramStart"/>
            <w:r w:rsidRPr="008E705E">
              <w:rPr>
                <w:rFonts w:ascii="Times New Roman" w:hAnsi="Times New Roman"/>
                <w:color w:val="000000"/>
                <w:spacing w:val="-2"/>
              </w:rPr>
              <w:t>publiczne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jaki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został zdefiniowany w ustawie</w:t>
            </w:r>
            <w:r w:rsidRPr="008E705E">
              <w:rPr>
                <w:rFonts w:ascii="Times New Roman" w:hAnsi="Times New Roman"/>
                <w:color w:val="000000"/>
                <w:spacing w:val="-2"/>
              </w:rPr>
              <w:t xml:space="preserve"> o informatyzacji działalności podmiotów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realizujących zadania publiczne. 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</w:rPr>
            </w:pPr>
            <w:r w:rsidRPr="00A32A04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Projektowana ustawa wchodzi w życie po upływie 14 dni od dnia ogłoszenia.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2A04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Pr="001B2D13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oraz jakie mierniki zostaną zastosowane?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efektów projektu prowadzona będzie każdego roku od 2019. W cyklu 3-letnim efekty dostosowania organów publicznych raportowane będą do Komisji Europejskiej. Raportowanie do Komisji Europejskiej ma na celu porównanie efektów wdrożenia dyrektywy w odniesieniu do innych krajów UE, wymianę dobrych praktyk oraz dyskusje o ewentualnych aktualizacjach legislacji.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0120A" w:rsidRPr="001B2D13" w:rsidRDefault="0000120A" w:rsidP="00EC68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A32A04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Załączniki </w:t>
            </w:r>
            <w:r w:rsidRPr="00A32A04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(istotne dokumenty źródłowe, badania, analizy itp.</w:t>
            </w:r>
            <w:r w:rsidRPr="001B2D1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) </w:t>
            </w:r>
          </w:p>
        </w:tc>
      </w:tr>
      <w:tr w:rsidR="0000120A" w:rsidRPr="008B4FE6" w:rsidTr="00EC684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0120A" w:rsidRPr="00B37C80" w:rsidRDefault="0000120A" w:rsidP="00EC68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00120A" w:rsidRPr="00522D94" w:rsidRDefault="0000120A" w:rsidP="0000120A">
      <w:pPr>
        <w:pStyle w:val="Nagwek1"/>
        <w:tabs>
          <w:tab w:val="left" w:pos="5805"/>
        </w:tabs>
        <w:rPr>
          <w:rFonts w:ascii="Times New Roman" w:hAnsi="Times New Roman"/>
          <w:sz w:val="20"/>
          <w:szCs w:val="20"/>
        </w:rPr>
      </w:pPr>
    </w:p>
    <w:p w:rsidR="0000120A" w:rsidRPr="00522D94" w:rsidRDefault="0000120A" w:rsidP="0000120A">
      <w:pPr>
        <w:spacing w:after="120"/>
        <w:ind w:left="360"/>
        <w:rPr>
          <w:rFonts w:ascii="Times New Roman" w:hAnsi="Times New Roman"/>
          <w:sz w:val="20"/>
          <w:szCs w:val="20"/>
        </w:rPr>
      </w:pPr>
    </w:p>
    <w:p w:rsidR="006176ED" w:rsidRPr="00522D94" w:rsidRDefault="006176ED" w:rsidP="00F420CF">
      <w:pPr>
        <w:spacing w:after="120"/>
        <w:ind w:left="360"/>
        <w:rPr>
          <w:rFonts w:ascii="Times New Roman" w:hAnsi="Times New Roman"/>
          <w:sz w:val="20"/>
          <w:szCs w:val="20"/>
        </w:rPr>
      </w:pPr>
      <w:bookmarkStart w:id="2" w:name="Wybór1"/>
      <w:bookmarkEnd w:id="0"/>
      <w:bookmarkEnd w:id="2"/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15" w:rsidRDefault="00244C15" w:rsidP="00044739">
      <w:pPr>
        <w:spacing w:line="240" w:lineRule="auto"/>
      </w:pPr>
      <w:r>
        <w:separator/>
      </w:r>
    </w:p>
  </w:endnote>
  <w:endnote w:type="continuationSeparator" w:id="0">
    <w:p w:rsidR="00244C15" w:rsidRDefault="00244C15" w:rsidP="00044739">
      <w:pPr>
        <w:spacing w:line="240" w:lineRule="auto"/>
      </w:pPr>
      <w:r>
        <w:continuationSeparator/>
      </w:r>
    </w:p>
  </w:endnote>
  <w:endnote w:type="continuationNotice" w:id="1">
    <w:p w:rsidR="00244C15" w:rsidRDefault="00244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15" w:rsidRDefault="00244C15" w:rsidP="00044739">
      <w:pPr>
        <w:spacing w:line="240" w:lineRule="auto"/>
      </w:pPr>
      <w:r>
        <w:separator/>
      </w:r>
    </w:p>
  </w:footnote>
  <w:footnote w:type="continuationSeparator" w:id="0">
    <w:p w:rsidR="00244C15" w:rsidRDefault="00244C15" w:rsidP="00044739">
      <w:pPr>
        <w:spacing w:line="240" w:lineRule="auto"/>
      </w:pPr>
      <w:r>
        <w:continuationSeparator/>
      </w:r>
    </w:p>
  </w:footnote>
  <w:footnote w:type="continuationNotice" w:id="1">
    <w:p w:rsidR="00244C15" w:rsidRDefault="00244C15">
      <w:pPr>
        <w:spacing w:line="240" w:lineRule="auto"/>
      </w:pPr>
    </w:p>
  </w:footnote>
  <w:footnote w:id="2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0137">
        <w:t>Społeczeństwo informacyjne w Polsce. Wyniki badan st</w:t>
      </w:r>
      <w:r>
        <w:t>atystycznych z lat 2013-2017, GUS</w:t>
      </w:r>
    </w:p>
  </w:footnote>
  <w:footnote w:id="3">
    <w:p w:rsidR="00A44488" w:rsidRPr="007A267B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A267B">
        <w:rPr>
          <w:lang w:val="en-US"/>
        </w:rPr>
        <w:t xml:space="preserve"> Royal Decree 1494/2007, 12th of </w:t>
      </w:r>
      <w:r w:rsidRPr="003565BE">
        <w:rPr>
          <w:lang w:val="en-US"/>
        </w:rPr>
        <w:t>November</w:t>
      </w:r>
      <w:r w:rsidRPr="007A267B">
        <w:rPr>
          <w:lang w:val="en-US"/>
        </w:rPr>
        <w:t xml:space="preserve">, for approving the regulation on the basic conditions </w:t>
      </w:r>
    </w:p>
    <w:p w:rsidR="00A44488" w:rsidRPr="007A267B" w:rsidRDefault="00A44488" w:rsidP="0000120A">
      <w:pPr>
        <w:pStyle w:val="Tekstprzypisudolnego"/>
        <w:rPr>
          <w:lang w:val="en-US"/>
        </w:rPr>
      </w:pPr>
      <w:r w:rsidRPr="007A267B">
        <w:rPr>
          <w:lang w:val="en-US"/>
        </w:rPr>
        <w:t>for the access of disabled people to the information society</w:t>
      </w:r>
    </w:p>
  </w:footnote>
  <w:footnote w:id="4">
    <w:p w:rsidR="00A44488" w:rsidRPr="007A267B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A267B">
        <w:rPr>
          <w:lang w:val="en-US"/>
        </w:rPr>
        <w:t xml:space="preserve"> </w:t>
      </w:r>
      <w:hyperlink r:id="rId1" w:history="1">
        <w:r w:rsidRPr="007A267B">
          <w:rPr>
            <w:rStyle w:val="Hipercze"/>
            <w:rFonts w:eastAsia="Times New Roman"/>
            <w:lang w:val="en-US"/>
          </w:rPr>
          <w:t>http://administracionelectronica.gob.es/ctt/oaw/descargas</w:t>
        </w:r>
      </w:hyperlink>
    </w:p>
  </w:footnote>
  <w:footnote w:id="5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Najnowszy dostępny tutaj: </w:t>
      </w:r>
      <w:hyperlink r:id="rId2" w:history="1">
        <w:r>
          <w:rPr>
            <w:rStyle w:val="Hipercze"/>
            <w:rFonts w:eastAsia="Times New Roman"/>
          </w:rPr>
          <w:t>http://administracionelectronica.gob.es/pae_Home/dam/jcr:4e7fbb49-57a3-4f19-8c4f-991baf3b0414/2017-02-eng-nota-tecnica-directiva-accesibilidad-web.pdf</w:t>
        </w:r>
      </w:hyperlink>
    </w:p>
  </w:footnote>
  <w:footnote w:id="6">
    <w:p w:rsidR="00A44488" w:rsidRPr="003251E6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251E6">
        <w:rPr>
          <w:lang w:val="en-US"/>
        </w:rPr>
        <w:t xml:space="preserve"> Pismo GUS GUS-IV1S03.7032.8.2018.1</w:t>
      </w:r>
    </w:p>
  </w:footnote>
  <w:footnote w:id="7">
    <w:p w:rsidR="00A44488" w:rsidRPr="003251E6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251E6">
        <w:rPr>
          <w:lang w:val="en-US"/>
        </w:rPr>
        <w:t xml:space="preserve"> </w:t>
      </w:r>
      <w:hyperlink r:id="rId3" w:history="1">
        <w:r w:rsidRPr="003251E6">
          <w:rPr>
            <w:rStyle w:val="Hipercze"/>
            <w:lang w:val="en-US"/>
          </w:rPr>
          <w:t>http://prawo.sejm.gov.pl/isap.nsf/DocDetails.xsp?id=WDU20170000010</w:t>
        </w:r>
      </w:hyperlink>
    </w:p>
  </w:footnote>
  <w:footnote w:id="8">
    <w:p w:rsidR="00A44488" w:rsidRPr="00781451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81451">
        <w:rPr>
          <w:lang w:val="en-US"/>
        </w:rPr>
        <w:t xml:space="preserve"> https://bip.kprm.gov.pl/kpr/bip-kancelarii-prezesa/podmioty-nadzorowane-pr/4514,lead.html</w:t>
      </w:r>
    </w:p>
  </w:footnote>
  <w:footnote w:id="9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Departament Mienia Skarbu Państwa w Prokuratorii Generalnej Rzeczpospolitej Polskiej, </w:t>
      </w:r>
      <w:r w:rsidRPr="001F2A1F">
        <w:t>https</w:t>
      </w:r>
      <w:proofErr w:type="gramStart"/>
      <w:r w:rsidRPr="001F2A1F">
        <w:t>://www</w:t>
      </w:r>
      <w:proofErr w:type="gramEnd"/>
      <w:r w:rsidRPr="001F2A1F">
        <w:t>.</w:t>
      </w:r>
      <w:proofErr w:type="gramStart"/>
      <w:r w:rsidRPr="001F2A1F">
        <w:t>danepubliczne</w:t>
      </w:r>
      <w:proofErr w:type="gramEnd"/>
      <w:r w:rsidRPr="001F2A1F">
        <w:t>.</w:t>
      </w:r>
      <w:proofErr w:type="gramStart"/>
      <w:r w:rsidRPr="001F2A1F">
        <w:t>gov</w:t>
      </w:r>
      <w:proofErr w:type="gramEnd"/>
      <w:r w:rsidRPr="001F2A1F">
        <w:t>.</w:t>
      </w:r>
      <w:proofErr w:type="gramStart"/>
      <w:r w:rsidRPr="001F2A1F">
        <w:t>pl</w:t>
      </w:r>
      <w:proofErr w:type="gramEnd"/>
      <w:r w:rsidRPr="001F2A1F">
        <w:t>/dataset/wykaz-przedsiebiorstw-panstwowych-30-09-2017</w:t>
      </w:r>
    </w:p>
  </w:footnote>
  <w:footnote w:id="10">
    <w:p w:rsidR="00A44488" w:rsidRPr="00781451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81451">
        <w:rPr>
          <w:lang w:val="en-US"/>
        </w:rPr>
        <w:t xml:space="preserve"> Pismo GUS GUS-IV1S03.7032.8.2018.1</w:t>
      </w:r>
    </w:p>
  </w:footnote>
  <w:footnote w:id="11">
    <w:p w:rsidR="00A44488" w:rsidRPr="00090BB5" w:rsidRDefault="00A44488" w:rsidP="0000120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90BB5">
        <w:rPr>
          <w:lang w:val="en-US"/>
        </w:rPr>
        <w:t xml:space="preserve"> Pismo GUS GUS-IV1S03.7032.8.2018.1</w:t>
      </w:r>
    </w:p>
  </w:footnote>
  <w:footnote w:id="12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3FE4">
        <w:t>Ustawa z dnia 17 lutego 2005 r. o informatyzacji działalności podmiotów realizujących zadania publiczne</w:t>
      </w:r>
      <w:r>
        <w:t xml:space="preserve"> (Dz. U. </w:t>
      </w:r>
      <w:proofErr w:type="gramStart"/>
      <w:r>
        <w:t>z</w:t>
      </w:r>
      <w:proofErr w:type="gramEnd"/>
      <w:r>
        <w:t xml:space="preserve"> 2017 r. poz. 570,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</w:footnote>
  <w:footnote w:id="13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3F18">
        <w:t xml:space="preserve">Szacunkowe koszty badań dostępności zostały oparte o średnią wyliczoną z wycen przedstawionych przez trzy organizacje pozarządowe wyspecjalizowane w </w:t>
      </w:r>
      <w:r>
        <w:t xml:space="preserve">zakresie </w:t>
      </w:r>
      <w:r w:rsidRPr="00DC3F18">
        <w:t>dostępności cyfrowej.</w:t>
      </w:r>
    </w:p>
  </w:footnote>
  <w:footnote w:id="14">
    <w:p w:rsidR="00A44488" w:rsidRPr="00972B18" w:rsidRDefault="00A44488" w:rsidP="0000120A">
      <w:pPr>
        <w:jc w:val="both"/>
        <w:rPr>
          <w:rFonts w:asciiTheme="minorHAnsi" w:hAnsiTheme="minorHAnsi" w:cstheme="minorHAnsi"/>
          <w:sz w:val="20"/>
          <w:szCs w:val="20"/>
        </w:rPr>
      </w:pPr>
      <w:r w:rsidRPr="00972B1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72B18">
        <w:rPr>
          <w:rFonts w:asciiTheme="minorHAnsi" w:hAnsiTheme="minorHAnsi" w:cstheme="minorHAnsi"/>
          <w:sz w:val="20"/>
          <w:szCs w:val="20"/>
        </w:rPr>
        <w:t xml:space="preserve"> Obliczone na podstawie efektów </w:t>
      </w:r>
      <w:hyperlink r:id="rId4" w:history="1">
        <w:r w:rsidRPr="00972B18">
          <w:rPr>
            <w:rStyle w:val="Hipercze"/>
            <w:rFonts w:asciiTheme="minorHAnsi" w:hAnsiTheme="minorHAnsi" w:cstheme="minorHAnsi"/>
            <w:sz w:val="20"/>
            <w:szCs w:val="20"/>
          </w:rPr>
          <w:t>dotacji udzielonej w 2015 roku przez Ministra Administracji i Cyfryzacji</w:t>
        </w:r>
      </w:hyperlink>
      <w:r w:rsidRPr="00972B18">
        <w:rPr>
          <w:rFonts w:asciiTheme="minorHAnsi" w:hAnsiTheme="minorHAnsi" w:cstheme="minorHAnsi"/>
          <w:sz w:val="20"/>
          <w:szCs w:val="20"/>
        </w:rPr>
        <w:t xml:space="preserve"> na dofinansowanie budowy lub dostosowania stron internetowych podmiotów realizujących zadania publiczne do potrzeb osób niepełnosprawnych. Przyznane zostało 3 766 655,79 zł na dostosowanie 126 stron internetowych, co wynosi średnio 29 894 zł na stronę. </w:t>
      </w:r>
    </w:p>
  </w:footnote>
  <w:footnote w:id="15">
    <w:p w:rsidR="00A44488" w:rsidRDefault="00A44488" w:rsidP="00EE46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Kwota jaką</w:t>
      </w:r>
      <w:proofErr w:type="gramEnd"/>
      <w:r>
        <w:t xml:space="preserve"> Minister Administracji i Cyfryzacji przeznaczył w 2015 roku w formie dotacji na wytworzenie rozwiązania o zbliżonej funkcjonalności w umowie </w:t>
      </w:r>
      <w:r w:rsidRPr="002F4D30">
        <w:t>2 /DSI/ZP 2 /2015</w:t>
      </w:r>
      <w:r>
        <w:t>.</w:t>
      </w:r>
    </w:p>
  </w:footnote>
  <w:footnote w:id="16">
    <w:p w:rsidR="00A44488" w:rsidRDefault="00A44488" w:rsidP="00EE46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Kwota jaką</w:t>
      </w:r>
      <w:proofErr w:type="gramEnd"/>
      <w:r>
        <w:t xml:space="preserve"> Minister Administracji i Cyfryzacji przeznaczył w 2015 roku w formie dotacji na wytworzenie serwisu internetowego o zbliżonej treści w umowie </w:t>
      </w:r>
      <w:r w:rsidRPr="00AD7CAC">
        <w:t>1 /DSI/ZP 2 /2015</w:t>
      </w:r>
      <w:r>
        <w:t>.</w:t>
      </w:r>
    </w:p>
  </w:footnote>
  <w:footnote w:id="17">
    <w:p w:rsidR="00A44488" w:rsidRDefault="00A44488" w:rsidP="0000120A">
      <w:pPr>
        <w:pStyle w:val="Tekstprzypisudolnego"/>
      </w:pPr>
      <w:r>
        <w:rPr>
          <w:rStyle w:val="Odwoanieprzypisudolnego"/>
        </w:rPr>
        <w:footnoteRef/>
      </w:r>
      <w:r>
        <w:t xml:space="preserve"> Źródło: Badanie GUS, </w:t>
      </w:r>
      <w:r w:rsidRPr="00583FE4">
        <w:t xml:space="preserve">Wykorzystanie technologii </w:t>
      </w:r>
      <w:proofErr w:type="gramStart"/>
      <w:r w:rsidRPr="00583FE4">
        <w:t>informacyjno-telekomunikacyjnych  w</w:t>
      </w:r>
      <w:proofErr w:type="gramEnd"/>
      <w:r w:rsidRPr="00583FE4">
        <w:t xml:space="preserve"> gospodarstwach domowych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802"/>
    <w:multiLevelType w:val="hybridMultilevel"/>
    <w:tmpl w:val="6BAC235C"/>
    <w:lvl w:ilvl="0" w:tplc="5FA483C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0900F5F"/>
    <w:multiLevelType w:val="hybridMultilevel"/>
    <w:tmpl w:val="AB345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222E86"/>
    <w:multiLevelType w:val="hybridMultilevel"/>
    <w:tmpl w:val="2A6CB826"/>
    <w:lvl w:ilvl="0" w:tplc="49A47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16"/>
  </w:num>
  <w:num w:numId="16">
    <w:abstractNumId w:val="19"/>
  </w:num>
  <w:num w:numId="17">
    <w:abstractNumId w:val="6"/>
  </w:num>
  <w:num w:numId="18">
    <w:abstractNumId w:val="22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20A"/>
    <w:rsid w:val="000012DB"/>
    <w:rsid w:val="000015EE"/>
    <w:rsid w:val="000022D5"/>
    <w:rsid w:val="00004C6A"/>
    <w:rsid w:val="00012D11"/>
    <w:rsid w:val="00013EB5"/>
    <w:rsid w:val="00013EF3"/>
    <w:rsid w:val="0001537D"/>
    <w:rsid w:val="00023836"/>
    <w:rsid w:val="00025AF8"/>
    <w:rsid w:val="00026F56"/>
    <w:rsid w:val="000356A9"/>
    <w:rsid w:val="00044138"/>
    <w:rsid w:val="00044739"/>
    <w:rsid w:val="00047A2A"/>
    <w:rsid w:val="00051637"/>
    <w:rsid w:val="0005188D"/>
    <w:rsid w:val="000539B9"/>
    <w:rsid w:val="000557DB"/>
    <w:rsid w:val="00056681"/>
    <w:rsid w:val="0005794E"/>
    <w:rsid w:val="00060918"/>
    <w:rsid w:val="000648A7"/>
    <w:rsid w:val="00064BC5"/>
    <w:rsid w:val="0006618B"/>
    <w:rsid w:val="000670C0"/>
    <w:rsid w:val="00071B99"/>
    <w:rsid w:val="000750A2"/>
    <w:rsid w:val="000756E5"/>
    <w:rsid w:val="00075E1D"/>
    <w:rsid w:val="0007704E"/>
    <w:rsid w:val="00080EC8"/>
    <w:rsid w:val="0009105E"/>
    <w:rsid w:val="00093897"/>
    <w:rsid w:val="00094376"/>
    <w:rsid w:val="000944AC"/>
    <w:rsid w:val="00094CB9"/>
    <w:rsid w:val="00094F3D"/>
    <w:rsid w:val="000956B2"/>
    <w:rsid w:val="000969E7"/>
    <w:rsid w:val="00097916"/>
    <w:rsid w:val="000A23DE"/>
    <w:rsid w:val="000A4020"/>
    <w:rsid w:val="000A506D"/>
    <w:rsid w:val="000B54FB"/>
    <w:rsid w:val="000C29B0"/>
    <w:rsid w:val="000C76FC"/>
    <w:rsid w:val="000D38FC"/>
    <w:rsid w:val="000D4D90"/>
    <w:rsid w:val="000E2D10"/>
    <w:rsid w:val="000E306F"/>
    <w:rsid w:val="000F3204"/>
    <w:rsid w:val="000F422D"/>
    <w:rsid w:val="0010548B"/>
    <w:rsid w:val="001072D1"/>
    <w:rsid w:val="00110153"/>
    <w:rsid w:val="00115F85"/>
    <w:rsid w:val="00117017"/>
    <w:rsid w:val="001227C9"/>
    <w:rsid w:val="001275DE"/>
    <w:rsid w:val="00130E8E"/>
    <w:rsid w:val="0013216E"/>
    <w:rsid w:val="00132FE8"/>
    <w:rsid w:val="001333CA"/>
    <w:rsid w:val="001345A6"/>
    <w:rsid w:val="001401B5"/>
    <w:rsid w:val="00140AFF"/>
    <w:rsid w:val="00140D06"/>
    <w:rsid w:val="001422B9"/>
    <w:rsid w:val="00144C6F"/>
    <w:rsid w:val="0014665F"/>
    <w:rsid w:val="00152D68"/>
    <w:rsid w:val="00153464"/>
    <w:rsid w:val="001541B3"/>
    <w:rsid w:val="00154456"/>
    <w:rsid w:val="00154DCA"/>
    <w:rsid w:val="00155B15"/>
    <w:rsid w:val="00157821"/>
    <w:rsid w:val="00162219"/>
    <w:rsid w:val="001625BE"/>
    <w:rsid w:val="0016349D"/>
    <w:rsid w:val="001643A4"/>
    <w:rsid w:val="0016486D"/>
    <w:rsid w:val="001700A3"/>
    <w:rsid w:val="001727BB"/>
    <w:rsid w:val="001733C4"/>
    <w:rsid w:val="00180C12"/>
    <w:rsid w:val="00180D25"/>
    <w:rsid w:val="0018318D"/>
    <w:rsid w:val="00184C00"/>
    <w:rsid w:val="00184CD0"/>
    <w:rsid w:val="0018572C"/>
    <w:rsid w:val="00187E79"/>
    <w:rsid w:val="00187F0D"/>
    <w:rsid w:val="00192CC5"/>
    <w:rsid w:val="001956A7"/>
    <w:rsid w:val="001965EF"/>
    <w:rsid w:val="00197150"/>
    <w:rsid w:val="001A118A"/>
    <w:rsid w:val="001A22DE"/>
    <w:rsid w:val="001A2424"/>
    <w:rsid w:val="001A27F4"/>
    <w:rsid w:val="001A2D95"/>
    <w:rsid w:val="001A3146"/>
    <w:rsid w:val="001A35E3"/>
    <w:rsid w:val="001A71A0"/>
    <w:rsid w:val="001B2D13"/>
    <w:rsid w:val="001B3460"/>
    <w:rsid w:val="001B4CA1"/>
    <w:rsid w:val="001B6E3A"/>
    <w:rsid w:val="001B75D8"/>
    <w:rsid w:val="001C1060"/>
    <w:rsid w:val="001C3C63"/>
    <w:rsid w:val="001D4732"/>
    <w:rsid w:val="001D6A3C"/>
    <w:rsid w:val="001D6D51"/>
    <w:rsid w:val="001E169F"/>
    <w:rsid w:val="001F2A1F"/>
    <w:rsid w:val="001F371E"/>
    <w:rsid w:val="001F653A"/>
    <w:rsid w:val="001F6979"/>
    <w:rsid w:val="0020053B"/>
    <w:rsid w:val="00201693"/>
    <w:rsid w:val="00201FCB"/>
    <w:rsid w:val="00202BC6"/>
    <w:rsid w:val="00205141"/>
    <w:rsid w:val="0020516B"/>
    <w:rsid w:val="00205800"/>
    <w:rsid w:val="002069E6"/>
    <w:rsid w:val="00212BA1"/>
    <w:rsid w:val="00213559"/>
    <w:rsid w:val="00213EFD"/>
    <w:rsid w:val="00214018"/>
    <w:rsid w:val="002172F1"/>
    <w:rsid w:val="002207A7"/>
    <w:rsid w:val="0022271C"/>
    <w:rsid w:val="00223C7B"/>
    <w:rsid w:val="00224AB1"/>
    <w:rsid w:val="0022687A"/>
    <w:rsid w:val="00227BFD"/>
    <w:rsid w:val="00227FCE"/>
    <w:rsid w:val="00230728"/>
    <w:rsid w:val="00230DA6"/>
    <w:rsid w:val="002320AF"/>
    <w:rsid w:val="00232FD4"/>
    <w:rsid w:val="00234040"/>
    <w:rsid w:val="00235CD2"/>
    <w:rsid w:val="00241086"/>
    <w:rsid w:val="00244C15"/>
    <w:rsid w:val="00254DED"/>
    <w:rsid w:val="00255619"/>
    <w:rsid w:val="00255DAD"/>
    <w:rsid w:val="00256108"/>
    <w:rsid w:val="00257336"/>
    <w:rsid w:val="00260F33"/>
    <w:rsid w:val="002613BD"/>
    <w:rsid w:val="002624F1"/>
    <w:rsid w:val="00270C81"/>
    <w:rsid w:val="00271558"/>
    <w:rsid w:val="002721B2"/>
    <w:rsid w:val="00274862"/>
    <w:rsid w:val="00275651"/>
    <w:rsid w:val="00275D6C"/>
    <w:rsid w:val="00282D72"/>
    <w:rsid w:val="00283402"/>
    <w:rsid w:val="00285F18"/>
    <w:rsid w:val="00290CD7"/>
    <w:rsid w:val="00290FD6"/>
    <w:rsid w:val="00291C1F"/>
    <w:rsid w:val="00294259"/>
    <w:rsid w:val="002A0F59"/>
    <w:rsid w:val="002A1300"/>
    <w:rsid w:val="002A287C"/>
    <w:rsid w:val="002A2C81"/>
    <w:rsid w:val="002B2016"/>
    <w:rsid w:val="002B3D1A"/>
    <w:rsid w:val="002B43B8"/>
    <w:rsid w:val="002B4676"/>
    <w:rsid w:val="002C08AC"/>
    <w:rsid w:val="002C0A8E"/>
    <w:rsid w:val="002C27D0"/>
    <w:rsid w:val="002C2C9B"/>
    <w:rsid w:val="002D17D6"/>
    <w:rsid w:val="002D18D7"/>
    <w:rsid w:val="002D21CE"/>
    <w:rsid w:val="002D295E"/>
    <w:rsid w:val="002E3AF8"/>
    <w:rsid w:val="002E3DA3"/>
    <w:rsid w:val="002E450F"/>
    <w:rsid w:val="002E5CA3"/>
    <w:rsid w:val="002E6B38"/>
    <w:rsid w:val="002E6D63"/>
    <w:rsid w:val="002E6E2B"/>
    <w:rsid w:val="002F4182"/>
    <w:rsid w:val="002F428C"/>
    <w:rsid w:val="002F4D30"/>
    <w:rsid w:val="002F500B"/>
    <w:rsid w:val="002F65A2"/>
    <w:rsid w:val="00300991"/>
    <w:rsid w:val="00301959"/>
    <w:rsid w:val="003025E6"/>
    <w:rsid w:val="00305B8A"/>
    <w:rsid w:val="003077CC"/>
    <w:rsid w:val="003136B4"/>
    <w:rsid w:val="00315698"/>
    <w:rsid w:val="003165DC"/>
    <w:rsid w:val="00322156"/>
    <w:rsid w:val="00323F99"/>
    <w:rsid w:val="003251E6"/>
    <w:rsid w:val="00331000"/>
    <w:rsid w:val="00331BF9"/>
    <w:rsid w:val="0033495E"/>
    <w:rsid w:val="00334A79"/>
    <w:rsid w:val="00334D8D"/>
    <w:rsid w:val="00337345"/>
    <w:rsid w:val="00337DD2"/>
    <w:rsid w:val="003404D1"/>
    <w:rsid w:val="003443FF"/>
    <w:rsid w:val="00344FD7"/>
    <w:rsid w:val="00350B8A"/>
    <w:rsid w:val="00351498"/>
    <w:rsid w:val="00355808"/>
    <w:rsid w:val="003565BE"/>
    <w:rsid w:val="00362C7E"/>
    <w:rsid w:val="00363309"/>
    <w:rsid w:val="00363601"/>
    <w:rsid w:val="0037161D"/>
    <w:rsid w:val="00371961"/>
    <w:rsid w:val="00376AC9"/>
    <w:rsid w:val="0038364B"/>
    <w:rsid w:val="00385E5E"/>
    <w:rsid w:val="00385F69"/>
    <w:rsid w:val="00387CF7"/>
    <w:rsid w:val="00393032"/>
    <w:rsid w:val="00394B69"/>
    <w:rsid w:val="00397078"/>
    <w:rsid w:val="003A5B2E"/>
    <w:rsid w:val="003A6953"/>
    <w:rsid w:val="003B0B75"/>
    <w:rsid w:val="003B6083"/>
    <w:rsid w:val="003C072E"/>
    <w:rsid w:val="003C19B6"/>
    <w:rsid w:val="003C3838"/>
    <w:rsid w:val="003C3D6B"/>
    <w:rsid w:val="003C4A9B"/>
    <w:rsid w:val="003C5847"/>
    <w:rsid w:val="003C5F2A"/>
    <w:rsid w:val="003D0681"/>
    <w:rsid w:val="003D12F6"/>
    <w:rsid w:val="003D1426"/>
    <w:rsid w:val="003D14C1"/>
    <w:rsid w:val="003D3B08"/>
    <w:rsid w:val="003D3C32"/>
    <w:rsid w:val="003E12D1"/>
    <w:rsid w:val="003E2F4E"/>
    <w:rsid w:val="003E720A"/>
    <w:rsid w:val="003F0B82"/>
    <w:rsid w:val="003F420F"/>
    <w:rsid w:val="003F7A90"/>
    <w:rsid w:val="003F7BBA"/>
    <w:rsid w:val="00400E28"/>
    <w:rsid w:val="00402BD0"/>
    <w:rsid w:val="00403E6E"/>
    <w:rsid w:val="00412711"/>
    <w:rsid w:val="004129B4"/>
    <w:rsid w:val="00415EA7"/>
    <w:rsid w:val="00417EF0"/>
    <w:rsid w:val="00422181"/>
    <w:rsid w:val="004244A8"/>
    <w:rsid w:val="00425F72"/>
    <w:rsid w:val="00427736"/>
    <w:rsid w:val="00432D4E"/>
    <w:rsid w:val="0043490E"/>
    <w:rsid w:val="004371EA"/>
    <w:rsid w:val="00441787"/>
    <w:rsid w:val="004418A3"/>
    <w:rsid w:val="00444F2D"/>
    <w:rsid w:val="0045188F"/>
    <w:rsid w:val="00452034"/>
    <w:rsid w:val="00455FA6"/>
    <w:rsid w:val="004628E0"/>
    <w:rsid w:val="00466C70"/>
    <w:rsid w:val="004702C9"/>
    <w:rsid w:val="00470D46"/>
    <w:rsid w:val="00472E45"/>
    <w:rsid w:val="00473FEA"/>
    <w:rsid w:val="0047579D"/>
    <w:rsid w:val="004763FA"/>
    <w:rsid w:val="00476BD9"/>
    <w:rsid w:val="00483262"/>
    <w:rsid w:val="00483CA4"/>
    <w:rsid w:val="00484107"/>
    <w:rsid w:val="00485CC5"/>
    <w:rsid w:val="0048601E"/>
    <w:rsid w:val="00487BEC"/>
    <w:rsid w:val="00491E7D"/>
    <w:rsid w:val="0049343F"/>
    <w:rsid w:val="004943C5"/>
    <w:rsid w:val="004964FC"/>
    <w:rsid w:val="004A145E"/>
    <w:rsid w:val="004A1F15"/>
    <w:rsid w:val="004A2A81"/>
    <w:rsid w:val="004A4165"/>
    <w:rsid w:val="004A7BD7"/>
    <w:rsid w:val="004B0BBA"/>
    <w:rsid w:val="004B3E29"/>
    <w:rsid w:val="004B5DFF"/>
    <w:rsid w:val="004C15C2"/>
    <w:rsid w:val="004C36D8"/>
    <w:rsid w:val="004C3CCC"/>
    <w:rsid w:val="004C45E1"/>
    <w:rsid w:val="004C58B5"/>
    <w:rsid w:val="004C6A0C"/>
    <w:rsid w:val="004D1248"/>
    <w:rsid w:val="004D1E3C"/>
    <w:rsid w:val="004D32DA"/>
    <w:rsid w:val="004D3792"/>
    <w:rsid w:val="004D4169"/>
    <w:rsid w:val="004D509D"/>
    <w:rsid w:val="004D6E14"/>
    <w:rsid w:val="004E6072"/>
    <w:rsid w:val="004F4E17"/>
    <w:rsid w:val="004F762F"/>
    <w:rsid w:val="0050082F"/>
    <w:rsid w:val="00500C56"/>
    <w:rsid w:val="00501713"/>
    <w:rsid w:val="00502A8D"/>
    <w:rsid w:val="00502FD1"/>
    <w:rsid w:val="00506568"/>
    <w:rsid w:val="005106C2"/>
    <w:rsid w:val="0051551B"/>
    <w:rsid w:val="005168E2"/>
    <w:rsid w:val="005178AE"/>
    <w:rsid w:val="00520C57"/>
    <w:rsid w:val="00522D94"/>
    <w:rsid w:val="00525031"/>
    <w:rsid w:val="0052558D"/>
    <w:rsid w:val="00531976"/>
    <w:rsid w:val="005329A4"/>
    <w:rsid w:val="00533D89"/>
    <w:rsid w:val="00536564"/>
    <w:rsid w:val="00544597"/>
    <w:rsid w:val="00544FFE"/>
    <w:rsid w:val="005473F5"/>
    <w:rsid w:val="005477E7"/>
    <w:rsid w:val="0055248B"/>
    <w:rsid w:val="00552794"/>
    <w:rsid w:val="0055299A"/>
    <w:rsid w:val="00556389"/>
    <w:rsid w:val="0055638F"/>
    <w:rsid w:val="00563199"/>
    <w:rsid w:val="00564874"/>
    <w:rsid w:val="00567963"/>
    <w:rsid w:val="0057009A"/>
    <w:rsid w:val="00571260"/>
    <w:rsid w:val="0057189C"/>
    <w:rsid w:val="0057332E"/>
    <w:rsid w:val="00573BEA"/>
    <w:rsid w:val="00573FC1"/>
    <w:rsid w:val="005741EE"/>
    <w:rsid w:val="00576334"/>
    <w:rsid w:val="0057668E"/>
    <w:rsid w:val="00581519"/>
    <w:rsid w:val="00582738"/>
    <w:rsid w:val="005862D6"/>
    <w:rsid w:val="0059496A"/>
    <w:rsid w:val="00595E83"/>
    <w:rsid w:val="00596530"/>
    <w:rsid w:val="005967F3"/>
    <w:rsid w:val="005A06DF"/>
    <w:rsid w:val="005A3A03"/>
    <w:rsid w:val="005A5527"/>
    <w:rsid w:val="005A5AE6"/>
    <w:rsid w:val="005A7098"/>
    <w:rsid w:val="005B1206"/>
    <w:rsid w:val="005B2D8F"/>
    <w:rsid w:val="005B37E8"/>
    <w:rsid w:val="005C0056"/>
    <w:rsid w:val="005C45DB"/>
    <w:rsid w:val="005C659C"/>
    <w:rsid w:val="005D3C90"/>
    <w:rsid w:val="005D5084"/>
    <w:rsid w:val="005D5341"/>
    <w:rsid w:val="005D61D6"/>
    <w:rsid w:val="005E0D13"/>
    <w:rsid w:val="005E0E2D"/>
    <w:rsid w:val="005E5047"/>
    <w:rsid w:val="005E7205"/>
    <w:rsid w:val="005E7371"/>
    <w:rsid w:val="005F116C"/>
    <w:rsid w:val="005F2131"/>
    <w:rsid w:val="005F42F5"/>
    <w:rsid w:val="0060528A"/>
    <w:rsid w:val="00605EF6"/>
    <w:rsid w:val="00606455"/>
    <w:rsid w:val="00607F42"/>
    <w:rsid w:val="00614929"/>
    <w:rsid w:val="00615367"/>
    <w:rsid w:val="00616511"/>
    <w:rsid w:val="006176ED"/>
    <w:rsid w:val="006202F3"/>
    <w:rsid w:val="0062097A"/>
    <w:rsid w:val="00621DA6"/>
    <w:rsid w:val="00622B43"/>
    <w:rsid w:val="00623CFE"/>
    <w:rsid w:val="006262A3"/>
    <w:rsid w:val="00627221"/>
    <w:rsid w:val="00627EE8"/>
    <w:rsid w:val="006316FA"/>
    <w:rsid w:val="00631FCA"/>
    <w:rsid w:val="006370D2"/>
    <w:rsid w:val="00637351"/>
    <w:rsid w:val="00640064"/>
    <w:rsid w:val="0064074F"/>
    <w:rsid w:val="00641AB0"/>
    <w:rsid w:val="00641F55"/>
    <w:rsid w:val="00642ED1"/>
    <w:rsid w:val="00645E4A"/>
    <w:rsid w:val="00646EA0"/>
    <w:rsid w:val="00653688"/>
    <w:rsid w:val="0065540F"/>
    <w:rsid w:val="0066091B"/>
    <w:rsid w:val="00661BB9"/>
    <w:rsid w:val="006660E9"/>
    <w:rsid w:val="00666F2F"/>
    <w:rsid w:val="00667249"/>
    <w:rsid w:val="00667260"/>
    <w:rsid w:val="00667381"/>
    <w:rsid w:val="00667558"/>
    <w:rsid w:val="00671477"/>
    <w:rsid w:val="00671523"/>
    <w:rsid w:val="00673F09"/>
    <w:rsid w:val="006740E7"/>
    <w:rsid w:val="006754EF"/>
    <w:rsid w:val="006763F3"/>
    <w:rsid w:val="00676C8D"/>
    <w:rsid w:val="00676F1F"/>
    <w:rsid w:val="00677381"/>
    <w:rsid w:val="00677414"/>
    <w:rsid w:val="006832CF"/>
    <w:rsid w:val="00684A26"/>
    <w:rsid w:val="0068601E"/>
    <w:rsid w:val="0068717C"/>
    <w:rsid w:val="00693D71"/>
    <w:rsid w:val="0069486B"/>
    <w:rsid w:val="006967B5"/>
    <w:rsid w:val="006A3ACB"/>
    <w:rsid w:val="006A4904"/>
    <w:rsid w:val="006A548F"/>
    <w:rsid w:val="006A6FE6"/>
    <w:rsid w:val="006A701A"/>
    <w:rsid w:val="006A7405"/>
    <w:rsid w:val="006A79B8"/>
    <w:rsid w:val="006B6249"/>
    <w:rsid w:val="006B64DC"/>
    <w:rsid w:val="006B7A91"/>
    <w:rsid w:val="006B7F04"/>
    <w:rsid w:val="006C0064"/>
    <w:rsid w:val="006C0D00"/>
    <w:rsid w:val="006C69E0"/>
    <w:rsid w:val="006C6AD8"/>
    <w:rsid w:val="006D1503"/>
    <w:rsid w:val="006D3285"/>
    <w:rsid w:val="006D4704"/>
    <w:rsid w:val="006D61FF"/>
    <w:rsid w:val="006D6A2D"/>
    <w:rsid w:val="006D719D"/>
    <w:rsid w:val="006E0057"/>
    <w:rsid w:val="006E1E18"/>
    <w:rsid w:val="006E31CE"/>
    <w:rsid w:val="006E34D3"/>
    <w:rsid w:val="006E3900"/>
    <w:rsid w:val="006E4B57"/>
    <w:rsid w:val="006E5C00"/>
    <w:rsid w:val="006F0F6B"/>
    <w:rsid w:val="006F1435"/>
    <w:rsid w:val="006F2CCD"/>
    <w:rsid w:val="006F39C4"/>
    <w:rsid w:val="006F4E15"/>
    <w:rsid w:val="006F78C4"/>
    <w:rsid w:val="007011C3"/>
    <w:rsid w:val="007024B3"/>
    <w:rsid w:val="007031A0"/>
    <w:rsid w:val="00705A29"/>
    <w:rsid w:val="00707440"/>
    <w:rsid w:val="00707498"/>
    <w:rsid w:val="007076CB"/>
    <w:rsid w:val="00711A65"/>
    <w:rsid w:val="00714133"/>
    <w:rsid w:val="00714DA4"/>
    <w:rsid w:val="00715798"/>
    <w:rsid w:val="007158B2"/>
    <w:rsid w:val="00716081"/>
    <w:rsid w:val="00722B48"/>
    <w:rsid w:val="0072307A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F3A"/>
    <w:rsid w:val="00754E24"/>
    <w:rsid w:val="0076061A"/>
    <w:rsid w:val="00760F1F"/>
    <w:rsid w:val="0076423E"/>
    <w:rsid w:val="007646CB"/>
    <w:rsid w:val="00765071"/>
    <w:rsid w:val="0076658F"/>
    <w:rsid w:val="00767756"/>
    <w:rsid w:val="0077040A"/>
    <w:rsid w:val="00772D64"/>
    <w:rsid w:val="0077388B"/>
    <w:rsid w:val="007752F9"/>
    <w:rsid w:val="0078048F"/>
    <w:rsid w:val="00781451"/>
    <w:rsid w:val="00784C40"/>
    <w:rsid w:val="00790E0F"/>
    <w:rsid w:val="00792609"/>
    <w:rsid w:val="00792887"/>
    <w:rsid w:val="00793C37"/>
    <w:rsid w:val="007943E2"/>
    <w:rsid w:val="00794F2C"/>
    <w:rsid w:val="007A153E"/>
    <w:rsid w:val="007A267B"/>
    <w:rsid w:val="007A2E5A"/>
    <w:rsid w:val="007A3BC7"/>
    <w:rsid w:val="007A5AC4"/>
    <w:rsid w:val="007B0AFA"/>
    <w:rsid w:val="007B0FDD"/>
    <w:rsid w:val="007B1696"/>
    <w:rsid w:val="007B24A3"/>
    <w:rsid w:val="007B4802"/>
    <w:rsid w:val="007B6668"/>
    <w:rsid w:val="007B6B33"/>
    <w:rsid w:val="007C1417"/>
    <w:rsid w:val="007C2701"/>
    <w:rsid w:val="007C5C81"/>
    <w:rsid w:val="007D2192"/>
    <w:rsid w:val="007D4482"/>
    <w:rsid w:val="007D4CAE"/>
    <w:rsid w:val="007E1E19"/>
    <w:rsid w:val="007E3AAD"/>
    <w:rsid w:val="007F0021"/>
    <w:rsid w:val="007F2F52"/>
    <w:rsid w:val="007F70A5"/>
    <w:rsid w:val="00800C01"/>
    <w:rsid w:val="00801F71"/>
    <w:rsid w:val="00805B67"/>
    <w:rsid w:val="00805F28"/>
    <w:rsid w:val="0080749F"/>
    <w:rsid w:val="00807BA3"/>
    <w:rsid w:val="008103EC"/>
    <w:rsid w:val="008112B3"/>
    <w:rsid w:val="00811D46"/>
    <w:rsid w:val="008125B0"/>
    <w:rsid w:val="008144CB"/>
    <w:rsid w:val="00821717"/>
    <w:rsid w:val="00824210"/>
    <w:rsid w:val="00824996"/>
    <w:rsid w:val="008253A4"/>
    <w:rsid w:val="008263C0"/>
    <w:rsid w:val="00826CD0"/>
    <w:rsid w:val="00830899"/>
    <w:rsid w:val="008324AC"/>
    <w:rsid w:val="00834A6F"/>
    <w:rsid w:val="00841422"/>
    <w:rsid w:val="00841D3B"/>
    <w:rsid w:val="0084314C"/>
    <w:rsid w:val="00843171"/>
    <w:rsid w:val="00847835"/>
    <w:rsid w:val="008521BC"/>
    <w:rsid w:val="008575C3"/>
    <w:rsid w:val="00861F61"/>
    <w:rsid w:val="00863D28"/>
    <w:rsid w:val="008648C3"/>
    <w:rsid w:val="00867482"/>
    <w:rsid w:val="008708F8"/>
    <w:rsid w:val="008717BB"/>
    <w:rsid w:val="00872AA7"/>
    <w:rsid w:val="0088058E"/>
    <w:rsid w:val="00880F26"/>
    <w:rsid w:val="00885570"/>
    <w:rsid w:val="00885FCA"/>
    <w:rsid w:val="00891F4F"/>
    <w:rsid w:val="00895725"/>
    <w:rsid w:val="0089694C"/>
    <w:rsid w:val="00896C2E"/>
    <w:rsid w:val="008A3F8F"/>
    <w:rsid w:val="008A5095"/>
    <w:rsid w:val="008A608F"/>
    <w:rsid w:val="008A6987"/>
    <w:rsid w:val="008B1A9A"/>
    <w:rsid w:val="008B4A62"/>
    <w:rsid w:val="008B4FE6"/>
    <w:rsid w:val="008B5C4F"/>
    <w:rsid w:val="008B676D"/>
    <w:rsid w:val="008B6C37"/>
    <w:rsid w:val="008C17A2"/>
    <w:rsid w:val="008D13F4"/>
    <w:rsid w:val="008D2D12"/>
    <w:rsid w:val="008D72E2"/>
    <w:rsid w:val="008E18F7"/>
    <w:rsid w:val="008E1BBC"/>
    <w:rsid w:val="008E1E10"/>
    <w:rsid w:val="008E291B"/>
    <w:rsid w:val="008E304B"/>
    <w:rsid w:val="008E4F2F"/>
    <w:rsid w:val="008E705E"/>
    <w:rsid w:val="008E74B0"/>
    <w:rsid w:val="008F2005"/>
    <w:rsid w:val="009008A8"/>
    <w:rsid w:val="00901A95"/>
    <w:rsid w:val="009045E0"/>
    <w:rsid w:val="009063B0"/>
    <w:rsid w:val="00907106"/>
    <w:rsid w:val="009107FD"/>
    <w:rsid w:val="0091137C"/>
    <w:rsid w:val="00911567"/>
    <w:rsid w:val="00914466"/>
    <w:rsid w:val="00917AAE"/>
    <w:rsid w:val="00922B4C"/>
    <w:rsid w:val="009251A9"/>
    <w:rsid w:val="00930699"/>
    <w:rsid w:val="00931F69"/>
    <w:rsid w:val="00934123"/>
    <w:rsid w:val="009453F0"/>
    <w:rsid w:val="009458EA"/>
    <w:rsid w:val="009520D4"/>
    <w:rsid w:val="0095551A"/>
    <w:rsid w:val="00955774"/>
    <w:rsid w:val="009560B5"/>
    <w:rsid w:val="00965C1F"/>
    <w:rsid w:val="009703D6"/>
    <w:rsid w:val="0097181B"/>
    <w:rsid w:val="00972B1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905"/>
    <w:rsid w:val="00995BC4"/>
    <w:rsid w:val="00996468"/>
    <w:rsid w:val="00996F0A"/>
    <w:rsid w:val="009A1D86"/>
    <w:rsid w:val="009A237E"/>
    <w:rsid w:val="009A4BC0"/>
    <w:rsid w:val="009A7C06"/>
    <w:rsid w:val="009B049C"/>
    <w:rsid w:val="009B11C8"/>
    <w:rsid w:val="009B2BCF"/>
    <w:rsid w:val="009B2FF8"/>
    <w:rsid w:val="009B5BA3"/>
    <w:rsid w:val="009C1507"/>
    <w:rsid w:val="009C5E54"/>
    <w:rsid w:val="009D0027"/>
    <w:rsid w:val="009D0655"/>
    <w:rsid w:val="009E1E98"/>
    <w:rsid w:val="009E3ABE"/>
    <w:rsid w:val="009E3C4B"/>
    <w:rsid w:val="009F0637"/>
    <w:rsid w:val="009F38A6"/>
    <w:rsid w:val="009F5D51"/>
    <w:rsid w:val="009F62A6"/>
    <w:rsid w:val="009F674F"/>
    <w:rsid w:val="009F799E"/>
    <w:rsid w:val="00A02020"/>
    <w:rsid w:val="00A056CB"/>
    <w:rsid w:val="00A07A29"/>
    <w:rsid w:val="00A10FF1"/>
    <w:rsid w:val="00A1506B"/>
    <w:rsid w:val="00A15F5F"/>
    <w:rsid w:val="00A165FB"/>
    <w:rsid w:val="00A17CB2"/>
    <w:rsid w:val="00A20631"/>
    <w:rsid w:val="00A20822"/>
    <w:rsid w:val="00A20D21"/>
    <w:rsid w:val="00A21EA7"/>
    <w:rsid w:val="00A23191"/>
    <w:rsid w:val="00A27EF9"/>
    <w:rsid w:val="00A3090B"/>
    <w:rsid w:val="00A319C0"/>
    <w:rsid w:val="00A32A04"/>
    <w:rsid w:val="00A33560"/>
    <w:rsid w:val="00A364E4"/>
    <w:rsid w:val="00A371A5"/>
    <w:rsid w:val="00A40CB1"/>
    <w:rsid w:val="00A437FB"/>
    <w:rsid w:val="00A44488"/>
    <w:rsid w:val="00A47BDF"/>
    <w:rsid w:val="00A51CD7"/>
    <w:rsid w:val="00A52ADB"/>
    <w:rsid w:val="00A533E8"/>
    <w:rsid w:val="00A542D9"/>
    <w:rsid w:val="00A55DFC"/>
    <w:rsid w:val="00A56E64"/>
    <w:rsid w:val="00A624C3"/>
    <w:rsid w:val="00A62516"/>
    <w:rsid w:val="00A6641C"/>
    <w:rsid w:val="00A7103A"/>
    <w:rsid w:val="00A755C3"/>
    <w:rsid w:val="00A767D2"/>
    <w:rsid w:val="00A77616"/>
    <w:rsid w:val="00A805DA"/>
    <w:rsid w:val="00A811B4"/>
    <w:rsid w:val="00A87CDE"/>
    <w:rsid w:val="00A92BAF"/>
    <w:rsid w:val="00A9317A"/>
    <w:rsid w:val="00A94737"/>
    <w:rsid w:val="00A94BA3"/>
    <w:rsid w:val="00A96CBA"/>
    <w:rsid w:val="00A97C7E"/>
    <w:rsid w:val="00AA31D6"/>
    <w:rsid w:val="00AA54F3"/>
    <w:rsid w:val="00AB1ACD"/>
    <w:rsid w:val="00AB277F"/>
    <w:rsid w:val="00AB3C76"/>
    <w:rsid w:val="00AB4099"/>
    <w:rsid w:val="00AB42B7"/>
    <w:rsid w:val="00AB449A"/>
    <w:rsid w:val="00AC2DF8"/>
    <w:rsid w:val="00AC2ED6"/>
    <w:rsid w:val="00AC4042"/>
    <w:rsid w:val="00AD14F9"/>
    <w:rsid w:val="00AD35D6"/>
    <w:rsid w:val="00AD3677"/>
    <w:rsid w:val="00AD58C5"/>
    <w:rsid w:val="00AD7CAC"/>
    <w:rsid w:val="00AE36C4"/>
    <w:rsid w:val="00AE472C"/>
    <w:rsid w:val="00AE4D44"/>
    <w:rsid w:val="00AE5375"/>
    <w:rsid w:val="00AE6CF8"/>
    <w:rsid w:val="00AF445E"/>
    <w:rsid w:val="00AF4CAC"/>
    <w:rsid w:val="00B0280E"/>
    <w:rsid w:val="00B02AEF"/>
    <w:rsid w:val="00B03E0D"/>
    <w:rsid w:val="00B050DF"/>
    <w:rsid w:val="00B054F8"/>
    <w:rsid w:val="00B138B3"/>
    <w:rsid w:val="00B13AAB"/>
    <w:rsid w:val="00B17717"/>
    <w:rsid w:val="00B21D12"/>
    <w:rsid w:val="00B2219A"/>
    <w:rsid w:val="00B26308"/>
    <w:rsid w:val="00B2664D"/>
    <w:rsid w:val="00B34058"/>
    <w:rsid w:val="00B3581B"/>
    <w:rsid w:val="00B36B81"/>
    <w:rsid w:val="00B36FEE"/>
    <w:rsid w:val="00B378B4"/>
    <w:rsid w:val="00B37C80"/>
    <w:rsid w:val="00B445B0"/>
    <w:rsid w:val="00B44E41"/>
    <w:rsid w:val="00B46ADF"/>
    <w:rsid w:val="00B4706F"/>
    <w:rsid w:val="00B47C70"/>
    <w:rsid w:val="00B505B0"/>
    <w:rsid w:val="00B5092B"/>
    <w:rsid w:val="00B5194E"/>
    <w:rsid w:val="00B51AF5"/>
    <w:rsid w:val="00B531FC"/>
    <w:rsid w:val="00B55347"/>
    <w:rsid w:val="00B5759A"/>
    <w:rsid w:val="00B57E5E"/>
    <w:rsid w:val="00B61F37"/>
    <w:rsid w:val="00B62C40"/>
    <w:rsid w:val="00B70DFC"/>
    <w:rsid w:val="00B716E3"/>
    <w:rsid w:val="00B72BD8"/>
    <w:rsid w:val="00B74886"/>
    <w:rsid w:val="00B7770F"/>
    <w:rsid w:val="00B77A89"/>
    <w:rsid w:val="00B77B27"/>
    <w:rsid w:val="00B81328"/>
    <w:rsid w:val="00B8134E"/>
    <w:rsid w:val="00B81B55"/>
    <w:rsid w:val="00B84613"/>
    <w:rsid w:val="00B87AF0"/>
    <w:rsid w:val="00B9037B"/>
    <w:rsid w:val="00B910BD"/>
    <w:rsid w:val="00B9349E"/>
    <w:rsid w:val="00B93834"/>
    <w:rsid w:val="00B96469"/>
    <w:rsid w:val="00BA0DA2"/>
    <w:rsid w:val="00BA0F2E"/>
    <w:rsid w:val="00BA2981"/>
    <w:rsid w:val="00BA42EE"/>
    <w:rsid w:val="00BA48F9"/>
    <w:rsid w:val="00BA7D1A"/>
    <w:rsid w:val="00BB05C9"/>
    <w:rsid w:val="00BB0DCA"/>
    <w:rsid w:val="00BB2666"/>
    <w:rsid w:val="00BB5166"/>
    <w:rsid w:val="00BB67CF"/>
    <w:rsid w:val="00BB6942"/>
    <w:rsid w:val="00BB699C"/>
    <w:rsid w:val="00BB6B80"/>
    <w:rsid w:val="00BC3773"/>
    <w:rsid w:val="00BC381A"/>
    <w:rsid w:val="00BC4DC5"/>
    <w:rsid w:val="00BC7557"/>
    <w:rsid w:val="00BD0962"/>
    <w:rsid w:val="00BD1EED"/>
    <w:rsid w:val="00BD24FA"/>
    <w:rsid w:val="00BF0DA2"/>
    <w:rsid w:val="00BF109C"/>
    <w:rsid w:val="00BF34FA"/>
    <w:rsid w:val="00BF62FE"/>
    <w:rsid w:val="00C004B6"/>
    <w:rsid w:val="00C03BBD"/>
    <w:rsid w:val="00C047A7"/>
    <w:rsid w:val="00C05426"/>
    <w:rsid w:val="00C05DE5"/>
    <w:rsid w:val="00C0627A"/>
    <w:rsid w:val="00C17988"/>
    <w:rsid w:val="00C21CC2"/>
    <w:rsid w:val="00C22A23"/>
    <w:rsid w:val="00C26FD3"/>
    <w:rsid w:val="00C33027"/>
    <w:rsid w:val="00C37667"/>
    <w:rsid w:val="00C435DB"/>
    <w:rsid w:val="00C44D73"/>
    <w:rsid w:val="00C50B42"/>
    <w:rsid w:val="00C516FF"/>
    <w:rsid w:val="00C52BFA"/>
    <w:rsid w:val="00C52E9F"/>
    <w:rsid w:val="00C53D1D"/>
    <w:rsid w:val="00C53F26"/>
    <w:rsid w:val="00C540BC"/>
    <w:rsid w:val="00C64F7D"/>
    <w:rsid w:val="00C67309"/>
    <w:rsid w:val="00C7614E"/>
    <w:rsid w:val="00C77BF1"/>
    <w:rsid w:val="00C80D60"/>
    <w:rsid w:val="00C818BD"/>
    <w:rsid w:val="00C82FBD"/>
    <w:rsid w:val="00C8441C"/>
    <w:rsid w:val="00C85267"/>
    <w:rsid w:val="00C854F4"/>
    <w:rsid w:val="00C86015"/>
    <w:rsid w:val="00C8721B"/>
    <w:rsid w:val="00C93317"/>
    <w:rsid w:val="00C9372C"/>
    <w:rsid w:val="00C9470E"/>
    <w:rsid w:val="00C956F3"/>
    <w:rsid w:val="00C95CEB"/>
    <w:rsid w:val="00CA1054"/>
    <w:rsid w:val="00CA62D0"/>
    <w:rsid w:val="00CA63EB"/>
    <w:rsid w:val="00CA69F1"/>
    <w:rsid w:val="00CA75AA"/>
    <w:rsid w:val="00CB17C3"/>
    <w:rsid w:val="00CB5A07"/>
    <w:rsid w:val="00CB5BEF"/>
    <w:rsid w:val="00CB6991"/>
    <w:rsid w:val="00CC0B8F"/>
    <w:rsid w:val="00CC5EFA"/>
    <w:rsid w:val="00CC6194"/>
    <w:rsid w:val="00CC6305"/>
    <w:rsid w:val="00CC78A5"/>
    <w:rsid w:val="00CD0516"/>
    <w:rsid w:val="00CD7070"/>
    <w:rsid w:val="00CD756B"/>
    <w:rsid w:val="00CE1473"/>
    <w:rsid w:val="00CE4F7D"/>
    <w:rsid w:val="00CE6EEF"/>
    <w:rsid w:val="00CE734F"/>
    <w:rsid w:val="00CF0CFF"/>
    <w:rsid w:val="00CF112E"/>
    <w:rsid w:val="00CF5DDA"/>
    <w:rsid w:val="00CF5F4F"/>
    <w:rsid w:val="00CF766D"/>
    <w:rsid w:val="00D06EB9"/>
    <w:rsid w:val="00D10C95"/>
    <w:rsid w:val="00D114A7"/>
    <w:rsid w:val="00D11820"/>
    <w:rsid w:val="00D1287F"/>
    <w:rsid w:val="00D16C9F"/>
    <w:rsid w:val="00D209DC"/>
    <w:rsid w:val="00D218DC"/>
    <w:rsid w:val="00D23E28"/>
    <w:rsid w:val="00D242AF"/>
    <w:rsid w:val="00D24E56"/>
    <w:rsid w:val="00D31047"/>
    <w:rsid w:val="00D31344"/>
    <w:rsid w:val="00D31643"/>
    <w:rsid w:val="00D31AEB"/>
    <w:rsid w:val="00D3260A"/>
    <w:rsid w:val="00D32ECD"/>
    <w:rsid w:val="00D361E4"/>
    <w:rsid w:val="00D4272D"/>
    <w:rsid w:val="00D42A8F"/>
    <w:rsid w:val="00D439F6"/>
    <w:rsid w:val="00D459C6"/>
    <w:rsid w:val="00D469F5"/>
    <w:rsid w:val="00D50729"/>
    <w:rsid w:val="00D50C19"/>
    <w:rsid w:val="00D51803"/>
    <w:rsid w:val="00D5379E"/>
    <w:rsid w:val="00D55D74"/>
    <w:rsid w:val="00D617D1"/>
    <w:rsid w:val="00D62643"/>
    <w:rsid w:val="00D64663"/>
    <w:rsid w:val="00D64C0F"/>
    <w:rsid w:val="00D72EFE"/>
    <w:rsid w:val="00D73DE1"/>
    <w:rsid w:val="00D75E2A"/>
    <w:rsid w:val="00D76227"/>
    <w:rsid w:val="00D77DF1"/>
    <w:rsid w:val="00D819C7"/>
    <w:rsid w:val="00D86777"/>
    <w:rsid w:val="00D86AFF"/>
    <w:rsid w:val="00D90F40"/>
    <w:rsid w:val="00D95A44"/>
    <w:rsid w:val="00D95D16"/>
    <w:rsid w:val="00D97C76"/>
    <w:rsid w:val="00DA07CD"/>
    <w:rsid w:val="00DA0857"/>
    <w:rsid w:val="00DA1963"/>
    <w:rsid w:val="00DB02B4"/>
    <w:rsid w:val="00DB219B"/>
    <w:rsid w:val="00DB444A"/>
    <w:rsid w:val="00DB538D"/>
    <w:rsid w:val="00DB6A1F"/>
    <w:rsid w:val="00DB78DE"/>
    <w:rsid w:val="00DC275C"/>
    <w:rsid w:val="00DC36E8"/>
    <w:rsid w:val="00DC3F18"/>
    <w:rsid w:val="00DC4B0D"/>
    <w:rsid w:val="00DC7FE1"/>
    <w:rsid w:val="00DD2EF4"/>
    <w:rsid w:val="00DD3F3F"/>
    <w:rsid w:val="00DD5572"/>
    <w:rsid w:val="00DE5D80"/>
    <w:rsid w:val="00DF25E8"/>
    <w:rsid w:val="00DF58CD"/>
    <w:rsid w:val="00DF65DE"/>
    <w:rsid w:val="00DF660F"/>
    <w:rsid w:val="00DF7724"/>
    <w:rsid w:val="00E019A5"/>
    <w:rsid w:val="00E02EC8"/>
    <w:rsid w:val="00E037F5"/>
    <w:rsid w:val="00E04355"/>
    <w:rsid w:val="00E04614"/>
    <w:rsid w:val="00E04ECB"/>
    <w:rsid w:val="00E05A09"/>
    <w:rsid w:val="00E06CA1"/>
    <w:rsid w:val="00E102C9"/>
    <w:rsid w:val="00E172B8"/>
    <w:rsid w:val="00E17FB4"/>
    <w:rsid w:val="00E20B75"/>
    <w:rsid w:val="00E214F2"/>
    <w:rsid w:val="00E2371E"/>
    <w:rsid w:val="00E24BD7"/>
    <w:rsid w:val="00E26523"/>
    <w:rsid w:val="00E26809"/>
    <w:rsid w:val="00E33A7A"/>
    <w:rsid w:val="00E3412D"/>
    <w:rsid w:val="00E35493"/>
    <w:rsid w:val="00E354F8"/>
    <w:rsid w:val="00E366A0"/>
    <w:rsid w:val="00E422DA"/>
    <w:rsid w:val="00E45181"/>
    <w:rsid w:val="00E46DF7"/>
    <w:rsid w:val="00E51F38"/>
    <w:rsid w:val="00E5277B"/>
    <w:rsid w:val="00E5686D"/>
    <w:rsid w:val="00E57322"/>
    <w:rsid w:val="00E628CB"/>
    <w:rsid w:val="00E62AD9"/>
    <w:rsid w:val="00E638C8"/>
    <w:rsid w:val="00E71DF1"/>
    <w:rsid w:val="00E720BF"/>
    <w:rsid w:val="00E739C3"/>
    <w:rsid w:val="00E7509B"/>
    <w:rsid w:val="00E77DF4"/>
    <w:rsid w:val="00E82134"/>
    <w:rsid w:val="00E84D5F"/>
    <w:rsid w:val="00E86590"/>
    <w:rsid w:val="00E907FF"/>
    <w:rsid w:val="00E9227E"/>
    <w:rsid w:val="00EA3C9E"/>
    <w:rsid w:val="00EA42D1"/>
    <w:rsid w:val="00EA42EF"/>
    <w:rsid w:val="00EA4B02"/>
    <w:rsid w:val="00EA7638"/>
    <w:rsid w:val="00EB2DD1"/>
    <w:rsid w:val="00EB364B"/>
    <w:rsid w:val="00EB38B5"/>
    <w:rsid w:val="00EB4273"/>
    <w:rsid w:val="00EB6B37"/>
    <w:rsid w:val="00EC29FE"/>
    <w:rsid w:val="00EC2EED"/>
    <w:rsid w:val="00EC3C70"/>
    <w:rsid w:val="00EC5B52"/>
    <w:rsid w:val="00EC684E"/>
    <w:rsid w:val="00ED05BE"/>
    <w:rsid w:val="00ED3A3D"/>
    <w:rsid w:val="00ED538A"/>
    <w:rsid w:val="00ED6FBC"/>
    <w:rsid w:val="00ED7B21"/>
    <w:rsid w:val="00EE1502"/>
    <w:rsid w:val="00EE23EC"/>
    <w:rsid w:val="00EE28F7"/>
    <w:rsid w:val="00EE29CA"/>
    <w:rsid w:val="00EE2CFC"/>
    <w:rsid w:val="00EE2F16"/>
    <w:rsid w:val="00EE3861"/>
    <w:rsid w:val="00EE4643"/>
    <w:rsid w:val="00EF0ED4"/>
    <w:rsid w:val="00EF2E73"/>
    <w:rsid w:val="00EF7683"/>
    <w:rsid w:val="00EF7A2D"/>
    <w:rsid w:val="00F018E2"/>
    <w:rsid w:val="00F04F8D"/>
    <w:rsid w:val="00F066B5"/>
    <w:rsid w:val="00F07B55"/>
    <w:rsid w:val="00F10AD0"/>
    <w:rsid w:val="00F116CC"/>
    <w:rsid w:val="00F12BD1"/>
    <w:rsid w:val="00F1525A"/>
    <w:rsid w:val="00F15327"/>
    <w:rsid w:val="00F168CF"/>
    <w:rsid w:val="00F21690"/>
    <w:rsid w:val="00F235C9"/>
    <w:rsid w:val="00F2555C"/>
    <w:rsid w:val="00F31DF3"/>
    <w:rsid w:val="00F33181"/>
    <w:rsid w:val="00F33AE5"/>
    <w:rsid w:val="00F3597D"/>
    <w:rsid w:val="00F37725"/>
    <w:rsid w:val="00F37A1B"/>
    <w:rsid w:val="00F420CF"/>
    <w:rsid w:val="00F4357F"/>
    <w:rsid w:val="00F43590"/>
    <w:rsid w:val="00F4376D"/>
    <w:rsid w:val="00F45399"/>
    <w:rsid w:val="00F465EA"/>
    <w:rsid w:val="00F534E3"/>
    <w:rsid w:val="00F54E7B"/>
    <w:rsid w:val="00F55A88"/>
    <w:rsid w:val="00F63D50"/>
    <w:rsid w:val="00F702F8"/>
    <w:rsid w:val="00F7316E"/>
    <w:rsid w:val="00F74005"/>
    <w:rsid w:val="00F76884"/>
    <w:rsid w:val="00F76C18"/>
    <w:rsid w:val="00F77393"/>
    <w:rsid w:val="00F8153D"/>
    <w:rsid w:val="00F81E3A"/>
    <w:rsid w:val="00F82568"/>
    <w:rsid w:val="00F83D24"/>
    <w:rsid w:val="00F83DD9"/>
    <w:rsid w:val="00F83F40"/>
    <w:rsid w:val="00F84F3D"/>
    <w:rsid w:val="00F86059"/>
    <w:rsid w:val="00F90FC6"/>
    <w:rsid w:val="00F93AF4"/>
    <w:rsid w:val="00F96652"/>
    <w:rsid w:val="00FA117A"/>
    <w:rsid w:val="00FA572F"/>
    <w:rsid w:val="00FB0C70"/>
    <w:rsid w:val="00FB2124"/>
    <w:rsid w:val="00FB386A"/>
    <w:rsid w:val="00FC0786"/>
    <w:rsid w:val="00FC080F"/>
    <w:rsid w:val="00FC49EF"/>
    <w:rsid w:val="00FC5B46"/>
    <w:rsid w:val="00FE36E2"/>
    <w:rsid w:val="00FE436F"/>
    <w:rsid w:val="00FE65EF"/>
    <w:rsid w:val="00FF11AD"/>
    <w:rsid w:val="00FF2213"/>
    <w:rsid w:val="00FF2971"/>
    <w:rsid w:val="00FF34D4"/>
    <w:rsid w:val="0E9BA6D8"/>
    <w:rsid w:val="0F00B690"/>
    <w:rsid w:val="1F0DBEDF"/>
    <w:rsid w:val="217ED799"/>
    <w:rsid w:val="21A29262"/>
    <w:rsid w:val="27E98596"/>
    <w:rsid w:val="2971B2A8"/>
    <w:rsid w:val="41A55DB1"/>
    <w:rsid w:val="424E346D"/>
    <w:rsid w:val="439791AE"/>
    <w:rsid w:val="474459A2"/>
    <w:rsid w:val="4B2793A7"/>
    <w:rsid w:val="587AE3D2"/>
    <w:rsid w:val="69C2D017"/>
    <w:rsid w:val="6DBAE7EE"/>
    <w:rsid w:val="73E5BE68"/>
    <w:rsid w:val="7834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13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locked/>
    <w:rsid w:val="00673F09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13A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3C5F2A"/>
    <w:rPr>
      <w:sz w:val="22"/>
      <w:szCs w:val="22"/>
      <w:lang w:eastAsia="en-US"/>
    </w:rPr>
  </w:style>
  <w:style w:type="table" w:styleId="Zwykatabela5">
    <w:name w:val="Plain Table 5"/>
    <w:basedOn w:val="Standardowy"/>
    <w:uiPriority w:val="45"/>
    <w:rsid w:val="008A3F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A3F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19715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583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dzialni.org/wyniki-raportu-dostepnosci-2017,new,mg,6,30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awo.sejm.gov.pl/isap.nsf/DocDetails.xsp?id=WDU20170000010" TargetMode="External"/><Relationship Id="rId2" Type="http://schemas.openxmlformats.org/officeDocument/2006/relationships/hyperlink" Target="http://administracionelectronica.gob.es/pae_Home/dam/jcr:4e7fbb49-57a3-4f19-8c4f-991baf3b0414/2017-02-eng-nota-tecnica-directiva-accesibilidad-web.pdf" TargetMode="External"/><Relationship Id="rId1" Type="http://schemas.openxmlformats.org/officeDocument/2006/relationships/hyperlink" Target="http://administracionelectronica.gob.es/ctt/oaw/descargas" TargetMode="External"/><Relationship Id="rId4" Type="http://schemas.openxmlformats.org/officeDocument/2006/relationships/hyperlink" Target="https://mc.bip.gov.pl/otwarte-konkursy-ofert-archiwum/ogloszenie-o-konkursie-na-dofinansowanie-projektu-informatycznego-o-publicznym-zastosowani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35eae29f6d9947ecb0a518ddc4bead80">
  <xsd:schema xmlns:xsd="http://www.w3.org/2001/XMLSchema" xmlns:xs="http://www.w3.org/2001/XMLSchema" xmlns:p="http://schemas.microsoft.com/office/2006/metadata/properties" xmlns:ns2="a53d6a32-b5fe-4a9a-b30d-3ac5bf6d4837" xmlns:ns3="5bb7174e-e704-4a4b-bab9-ceffa4318eee" targetNamespace="http://schemas.microsoft.com/office/2006/metadata/properties" ma:root="true" ma:fieldsID="9262d9db746836df365a226cf64af9dd" ns2:_="" ns3:_="">
    <xsd:import namespace="a53d6a32-b5fe-4a9a-b30d-3ac5bf6d4837"/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4D69-41E9-4203-8B41-EBC20F12C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FF5E2-232B-49E9-A81C-92835A208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C77D-8732-4216-AA3A-065E3375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6a32-b5fe-4a9a-b30d-3ac5bf6d4837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ADD6A-12CD-47B4-8714-31FA18B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4669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2018-07-12T07:34:00Z</dcterms:created>
  <dcterms:modified xsi:type="dcterms:W3CDTF">2018-07-12T07:34:00Z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